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06680" distL="114300" distR="4570730" simplePos="0" relativeHeight="125829378" behindDoc="0" locked="0" layoutInCell="1" allowOverlap="1">
            <wp:simplePos x="0" y="0"/>
            <wp:positionH relativeFrom="page">
              <wp:posOffset>4169410</wp:posOffset>
            </wp:positionH>
            <wp:positionV relativeFrom="paragraph">
              <wp:posOffset>12700</wp:posOffset>
            </wp:positionV>
            <wp:extent cx="609600" cy="6337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09600" cy="6337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131445</wp:posOffset>
                </wp:positionV>
                <wp:extent cx="701040" cy="40513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405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27D73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Минфин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27D73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России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9.5pt;margin-top:10.35pt;width:55.200000000000003pt;height:31.9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color w:val="027D73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Минфин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color w:val="027D73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России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06680" distB="121920" distL="2071370" distR="2696210" simplePos="0" relativeHeight="125829379" behindDoc="0" locked="0" layoutInCell="1" allowOverlap="1">
            <wp:simplePos x="0" y="0"/>
            <wp:positionH relativeFrom="page">
              <wp:posOffset>6126480</wp:posOffset>
            </wp:positionH>
            <wp:positionV relativeFrom="paragraph">
              <wp:posOffset>119380</wp:posOffset>
            </wp:positionV>
            <wp:extent cx="530225" cy="51181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30225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22250" distB="228600" distL="2686685" distR="1172210" simplePos="0" relativeHeight="125829380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234950</wp:posOffset>
                </wp:positionV>
                <wp:extent cx="1435735" cy="28956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735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Банк России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30.85000000000002pt;margin-top:18.5pt;width:113.05pt;height:22.800000000000001pt;z-index:-125829373;mso-wrap-distance-left:211.55000000000001pt;mso-wrap-distance-top:17.5pt;mso-wrap-distance-right:92.299999999999997pt;mso-wrap-distance-bottom:18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Банк России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27305" distB="0" distL="4469765" distR="114935" simplePos="0" relativeHeight="125829382" behindDoc="0" locked="0" layoutInCell="1" allowOverlap="1">
            <wp:simplePos x="0" y="0"/>
            <wp:positionH relativeFrom="page">
              <wp:posOffset>8524875</wp:posOffset>
            </wp:positionH>
            <wp:positionV relativeFrom="paragraph">
              <wp:posOffset>40005</wp:posOffset>
            </wp:positionV>
            <wp:extent cx="713105" cy="713105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13105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10256520</wp:posOffset>
            </wp:positionH>
            <wp:positionV relativeFrom="paragraph">
              <wp:posOffset>3581400</wp:posOffset>
            </wp:positionV>
            <wp:extent cx="1938655" cy="223139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938655" cy="2231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160" w:line="264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22357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САМОРЕГУЛИРУЕМАЯ ОРГАНИЗАЦИЯ НАЦИОНАЛЬНАЯ АССОЦИАЦИЯ НЕГОСУДАРСТВЕННЫХ ПЕНСИОННЫХ ФОНДОВ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300" w:line="266" w:lineRule="auto"/>
        <w:ind w:left="0" w:right="0" w:firstLine="0"/>
        <w:jc w:val="center"/>
        <w:rPr>
          <w:sz w:val="76"/>
          <w:szCs w:val="76"/>
        </w:rPr>
      </w:pPr>
      <w:r>
        <w:rPr>
          <w:rFonts w:ascii="Tahoma" w:eastAsia="Tahoma" w:hAnsi="Tahoma" w:cs="Tahoma"/>
          <w:b/>
          <w:bCs/>
          <w:color w:val="0EB5B5"/>
          <w:spacing w:val="0"/>
          <w:w w:val="100"/>
          <w:position w:val="0"/>
          <w:sz w:val="76"/>
          <w:szCs w:val="76"/>
          <w:shd w:val="clear" w:color="auto" w:fill="auto"/>
          <w:lang w:val="ru-RU" w:eastAsia="ru-RU" w:bidi="ru-RU"/>
        </w:rPr>
        <w:t>ПРОГРАММА ДОЛГОСРОЧНЫХ</w:t>
        <w:br/>
        <w:t>СБЕРЕЖЕНИЙ (ПДС)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>Для заместителей руководителей ФОИВ</w:t>
      </w:r>
      <w:r>
        <w:br w:type="page"/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3"/>
          <w:footerReference w:type="even" r:id="rId14"/>
          <w:footnotePr>
            <w:pos w:val="pageBottom"/>
            <w:numFmt w:val="decimal"/>
            <w:numRestart w:val="continuous"/>
          </w:footnotePr>
          <w:pgSz w:w="19200" w:h="11076" w:orient="landscape"/>
          <w:pgMar w:top="499" w:right="1785" w:bottom="682" w:left="710" w:header="0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Программа долгосрочных сбережений (ПДС) - что это?</w:t>
      </w:r>
      <w:bookmarkEnd w:id="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642" w:right="0" w:bottom="62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2688" w:h="1219" w:wrap="none" w:vAnchor="text" w:hAnchor="page" w:x="2507" w:y="443"/>
        <w:widowControl w:val="0"/>
        <w:pBdr>
          <w:top w:val="single" w:sz="0" w:space="0" w:color="0EB6B7"/>
          <w:left w:val="single" w:sz="0" w:space="0" w:color="0EB6B7"/>
          <w:bottom w:val="single" w:sz="0" w:space="0" w:color="0EB6B7"/>
          <w:right w:val="single" w:sz="0" w:space="0" w:color="0EB6B7"/>
        </w:pBdr>
        <w:shd w:val="clear" w:color="auto" w:fill="0EB6B7"/>
        <w:bidi w:val="0"/>
        <w:spacing w:before="0" w:after="0"/>
        <w:ind w:left="0" w:right="0" w:firstLine="0"/>
        <w:jc w:val="left"/>
        <w:rPr>
          <w:sz w:val="38"/>
          <w:szCs w:val="38"/>
        </w:rPr>
      </w:pPr>
      <w:r>
        <w:rPr>
          <w:b/>
          <w:bCs/>
          <w:color w:val="FFFFFF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Новая возможность накоплений</w:t>
      </w:r>
    </w:p>
    <w:p>
      <w:pPr>
        <w:pStyle w:val="Style2"/>
        <w:keepNext w:val="0"/>
        <w:keepLines w:val="0"/>
        <w:framePr w:w="2712" w:h="1210" w:wrap="none" w:vAnchor="text" w:hAnchor="page" w:x="8281" w:y="447"/>
        <w:widowControl w:val="0"/>
        <w:pBdr>
          <w:top w:val="single" w:sz="0" w:space="0" w:color="0EB6B7"/>
          <w:left w:val="single" w:sz="0" w:space="0" w:color="0EB6B7"/>
          <w:bottom w:val="single" w:sz="0" w:space="0" w:color="0EB6B7"/>
          <w:right w:val="single" w:sz="0" w:space="0" w:color="0EB6B7"/>
        </w:pBdr>
        <w:shd w:val="clear" w:color="auto" w:fill="0EB6B7"/>
        <w:bidi w:val="0"/>
        <w:spacing w:before="0" w:after="0" w:line="206" w:lineRule="auto"/>
        <w:ind w:left="0" w:right="0" w:firstLine="0"/>
        <w:jc w:val="left"/>
        <w:rPr>
          <w:sz w:val="38"/>
          <w:szCs w:val="38"/>
        </w:rPr>
      </w:pPr>
      <w:r>
        <w:rPr>
          <w:b/>
          <w:bCs/>
          <w:color w:val="FFFFFF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ПДС формируется за счет</w:t>
      </w:r>
    </w:p>
    <w:p>
      <w:pPr>
        <w:pStyle w:val="Style2"/>
        <w:keepNext w:val="0"/>
        <w:keepLines w:val="0"/>
        <w:framePr w:w="2822" w:h="1219" w:wrap="none" w:vAnchor="text" w:hAnchor="page" w:x="14089" w:y="467"/>
        <w:widowControl w:val="0"/>
        <w:pBdr>
          <w:top w:val="single" w:sz="0" w:space="0" w:color="0EB6B7"/>
          <w:left w:val="single" w:sz="0" w:space="0" w:color="0EB6B7"/>
          <w:bottom w:val="single" w:sz="0" w:space="0" w:color="0EB6B7"/>
          <w:right w:val="single" w:sz="0" w:space="0" w:color="0EB6B7"/>
        </w:pBdr>
        <w:shd w:val="clear" w:color="auto" w:fill="0EB6B7"/>
        <w:bidi w:val="0"/>
        <w:spacing w:before="0" w:after="0" w:line="209" w:lineRule="auto"/>
        <w:ind w:left="0" w:right="0" w:firstLine="0"/>
        <w:jc w:val="left"/>
        <w:rPr>
          <w:sz w:val="38"/>
          <w:szCs w:val="38"/>
        </w:rPr>
      </w:pPr>
      <w:r>
        <w:rPr>
          <w:b/>
          <w:bCs/>
          <w:color w:val="FFFFFF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Средства ПДС можно гибко использовать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423545</wp:posOffset>
            </wp:positionH>
            <wp:positionV relativeFrom="paragraph">
              <wp:posOffset>27305</wp:posOffset>
            </wp:positionV>
            <wp:extent cx="304800" cy="27432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0480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648970</wp:posOffset>
            </wp:positionH>
            <wp:positionV relativeFrom="paragraph">
              <wp:posOffset>393065</wp:posOffset>
            </wp:positionV>
            <wp:extent cx="786130" cy="57912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86130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2545" distL="0" distR="1886585" simplePos="0" relativeHeight="62914694" behindDoc="1" locked="0" layoutInCell="1" allowOverlap="1">
            <wp:simplePos x="0" y="0"/>
            <wp:positionH relativeFrom="page">
              <wp:posOffset>4160520</wp:posOffset>
            </wp:positionH>
            <wp:positionV relativeFrom="paragraph">
              <wp:posOffset>24130</wp:posOffset>
            </wp:positionV>
            <wp:extent cx="932815" cy="98742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932815" cy="9874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6830" distL="0" distR="1962785" simplePos="0" relativeHeight="62914695" behindDoc="1" locked="0" layoutInCell="1" allowOverlap="1">
            <wp:simplePos x="0" y="0"/>
            <wp:positionH relativeFrom="page">
              <wp:posOffset>7821295</wp:posOffset>
            </wp:positionH>
            <wp:positionV relativeFrom="paragraph">
              <wp:posOffset>12700</wp:posOffset>
            </wp:positionV>
            <wp:extent cx="956945" cy="102425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956945" cy="10242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11253470</wp:posOffset>
            </wp:positionH>
            <wp:positionV relativeFrom="paragraph">
              <wp:posOffset>682625</wp:posOffset>
            </wp:positionV>
            <wp:extent cx="938530" cy="567055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938530" cy="567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642" w:right="0" w:bottom="628" w:left="66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07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642" w:right="0" w:bottom="72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9" w:val="left"/>
        </w:tabs>
        <w:bidi w:val="0"/>
        <w:spacing w:before="0" w:after="180" w:line="199" w:lineRule="auto"/>
        <w:ind w:left="520" w:right="0" w:hanging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денежная подушка безопасности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9" w:val="left"/>
        </w:tabs>
        <w:bidi w:val="0"/>
        <w:spacing w:before="0" w:after="180" w:line="199" w:lineRule="auto"/>
        <w:ind w:left="520" w:right="0" w:hanging="5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сбережения на случай непредвиденных ситуаций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199" w:lineRule="auto"/>
        <w:ind w:left="5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I регулярный доход в будущем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197" w:lineRule="auto"/>
        <w:ind w:left="520" w:right="0" w:hanging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 небольшие ежемесячные отчисления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добровольных взносов гражданина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средств пенсионных накоплений по ОПС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софинансирования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1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государства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инвестиционного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80" w:line="19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Дохода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после 15 лет действия договора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достижении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55 лет (женщины)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60 лет (мужчины)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особых жизненных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 w:line="202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642" w:right="1786" w:bottom="728" w:left="802" w:header="0" w:footer="3" w:gutter="0"/>
          <w:cols w:num="3" w:space="720" w:equalWidth="0">
            <w:col w:w="4507" w:space="2232"/>
            <w:col w:w="4195" w:space="1738"/>
            <w:col w:w="394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ситуациях</w:t>
      </w: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8877" w:h="10800"/>
          <w:pgMar w:top="0" w:right="505" w:bottom="1773" w:left="6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860" w:line="240" w:lineRule="auto"/>
        <w:ind w:left="0" w:right="0" w:firstLine="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Преимущества ПДС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300" w:line="230" w:lineRule="auto"/>
        <w:ind w:left="1380" w:right="0" w:firstLine="0"/>
        <w:jc w:val="left"/>
      </w:pP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Перевод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пенсионных накоплений по ОПС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300" w:line="226" w:lineRule="auto"/>
        <w:ind w:left="0" w:right="0" w:firstLine="0"/>
        <w:jc w:val="left"/>
        <w:rPr>
          <w:sz w:val="36"/>
          <w:szCs w:val="36"/>
        </w:rPr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405765</wp:posOffset>
            </wp:positionH>
            <wp:positionV relativeFrom="paragraph">
              <wp:posOffset>12700</wp:posOffset>
            </wp:positionV>
            <wp:extent cx="713105" cy="822960"/>
            <wp:wrapSquare wrapText="right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713105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Софинансирование государства - </w:t>
      </w: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до 36 тысяч рублей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в год в течение 3 лет</w:t>
      </w:r>
    </w:p>
    <w:p>
      <w:pPr>
        <w:pStyle w:val="Style20"/>
        <w:keepNext w:val="0"/>
        <w:framePr w:dropCap="drop" w:hAnchor="text" w:lines="2" w:vAnchor="text" w:hSpace="5" w:vSpace="5"/>
        <w:widowControl w:val="0"/>
        <w:shd w:val="clear" w:color="auto" w:fill="auto"/>
        <w:spacing w:before="0" w:line="1194" w:lineRule="exact"/>
        <w:ind w:left="0" w:firstLine="0"/>
      </w:pPr>
      <w:r>
        <w:rPr>
          <w:color w:val="000000"/>
          <w:spacing w:val="0"/>
          <w:w w:val="100"/>
          <w:position w:val="-25"/>
          <w:sz w:val="368"/>
          <w:szCs w:val="368"/>
          <w:shd w:val="clear" w:color="auto" w:fill="auto"/>
          <w:lang w:val="ru-RU" w:eastAsia="ru-RU" w:bidi="ru-RU"/>
        </w:rPr>
        <w:t>•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8877" w:h="10800"/>
          <w:pgMar w:top="0" w:right="505" w:bottom="1773" w:left="624" w:header="0" w:footer="3" w:gutter="0"/>
          <w:cols w:space="720"/>
          <w:noEndnote/>
          <w:rtlGutter w:val="0"/>
          <w:docGrid w:linePitch="360"/>
        </w:sectPr>
      </w:pPr>
      <w:r>
        <w:rPr>
          <w:rFonts w:ascii="Arial" w:eastAsia="Arial" w:hAnsi="Arial" w:cs="Arial"/>
          <w:color w:val="0EB5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Налоговый вычет </w:t>
      </w:r>
      <w:r>
        <w:rPr>
          <w:rFonts w:ascii="Arial" w:eastAsia="Arial" w:hAnsi="Arial" w:cs="Arial"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13%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 суммы взносов </w:t>
      </w:r>
      <w:r>
        <w:rPr>
          <w:b/>
          <w:bCs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до 400 тыс. руб.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год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029970" cy="1639570"/>
            <wp:docPr id="27" name="Picut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029970" cy="16395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6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Наследование - </w:t>
      </w:r>
      <w:r>
        <w:rPr>
          <w:color w:val="027D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100%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 xml:space="preserve">средств </w:t>
      </w:r>
      <w:r>
        <w:rPr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>на счете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80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Государственные гарантии сохранности - </w:t>
      </w: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до 2,8 млн руб. +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инвестиционный доход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36"/>
          <w:szCs w:val="36"/>
        </w:rPr>
        <w:sectPr>
          <w:footerReference w:type="default" r:id="rId29"/>
          <w:footerReference w:type="even" r:id="rId30"/>
          <w:footnotePr>
            <w:pos w:val="pageBottom"/>
            <w:numFmt w:val="decimal"/>
            <w:numRestart w:val="continuous"/>
          </w:footnotePr>
          <w:type w:val="continuous"/>
          <w:pgSz w:w="8877" w:h="10800"/>
          <w:pgMar w:top="0" w:right="505" w:bottom="1773" w:left="62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Гарантия безубыточности - НПФ </w:t>
      </w: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обязан обеспечить сохранность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средств на счете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31"/>
          <w:footerReference w:type="even" r:id="rId32"/>
          <w:footnotePr>
            <w:pos w:val="pageBottom"/>
            <w:numFmt w:val="decimal"/>
            <w:numRestart w:val="continuous"/>
          </w:footnotePr>
          <w:pgSz w:w="19200" w:h="11076" w:orient="landscape"/>
          <w:pgMar w:top="537" w:right="763" w:bottom="38" w:left="571" w:header="0" w:footer="3" w:gutter="0"/>
          <w:cols w:space="720"/>
          <w:noEndnote/>
          <w:rtlGutter w:val="0"/>
          <w:docGrid w:linePitch="360"/>
        </w:sectPr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Негосударственный пенсионный фонд (НПФ) - оператор ПДС</w:t>
      </w:r>
      <w:bookmarkEnd w:id="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5" w:after="4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537" w:right="0" w:bottom="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0"/>
          <w:szCs w:val="50"/>
        </w:rPr>
      </w:pPr>
      <w:r>
        <w:rPr>
          <w:rFonts w:ascii="Tahoma" w:eastAsia="Tahoma" w:hAnsi="Tahoma" w:cs="Tahoma"/>
          <w:color w:val="0EB5B5"/>
          <w:spacing w:val="0"/>
          <w:w w:val="100"/>
          <w:position w:val="0"/>
          <w:sz w:val="50"/>
          <w:szCs w:val="50"/>
          <w:shd w:val="clear" w:color="auto" w:fill="auto"/>
          <w:lang w:val="ru-RU" w:eastAsia="ru-RU" w:bidi="ru-RU"/>
        </w:rPr>
        <w:t>Доверие государства к НПФ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50"/>
          <w:szCs w:val="5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537" w:right="763" w:bottom="38" w:left="571" w:header="0" w:footer="3" w:gutter="0"/>
          <w:cols w:num="2" w:space="3466"/>
          <w:noEndnote/>
          <w:rtlGutter w:val="0"/>
          <w:docGrid w:linePitch="360"/>
        </w:sectPr>
      </w:pPr>
      <w:r>
        <w:rPr>
          <w:rFonts w:ascii="Tahoma" w:eastAsia="Tahoma" w:hAnsi="Tahoma" w:cs="Tahoma"/>
          <w:color w:val="0EB5B5"/>
          <w:spacing w:val="0"/>
          <w:w w:val="100"/>
          <w:position w:val="0"/>
          <w:sz w:val="50"/>
          <w:szCs w:val="50"/>
          <w:shd w:val="clear" w:color="auto" w:fill="auto"/>
          <w:lang w:val="ru-RU" w:eastAsia="ru-RU" w:bidi="ru-RU"/>
        </w:rPr>
        <w:t>Контроль государства за НПФ</w:t>
      </w: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537" w:right="0" w:bottom="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7" w:val="left"/>
        </w:tabs>
        <w:bidi w:val="0"/>
        <w:spacing w:before="0" w:after="50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1015365" distL="1555750" distR="114935" simplePos="0" relativeHeight="125829385" behindDoc="0" locked="0" layoutInCell="1" allowOverlap="1">
                <wp:simplePos x="0" y="0"/>
                <wp:positionH relativeFrom="page">
                  <wp:posOffset>9015730</wp:posOffset>
                </wp:positionH>
                <wp:positionV relativeFrom="paragraph">
                  <wp:posOffset>12700</wp:posOffset>
                </wp:positionV>
                <wp:extent cx="2691130" cy="298450"/>
                <wp:wrapSquare wrapText="bothSides"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9113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27D7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Надзор Банка России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■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709.89999999999998pt;margin-top:1.pt;width:211.90000000000001pt;height:23.5pt;z-index:-125829368;mso-wrap-distance-left:122.5pt;mso-wrap-distance-right:9.0500000000000007pt;mso-wrap-distance-bottom:79.95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27D7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Надзор Банка России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■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588010" distB="635" distL="114300" distR="114300" simplePos="0" relativeHeight="125829387" behindDoc="0" locked="0" layoutInCell="1" allowOverlap="1">
                <wp:simplePos x="0" y="0"/>
                <wp:positionH relativeFrom="page">
                  <wp:posOffset>7574280</wp:posOffset>
                </wp:positionH>
                <wp:positionV relativeFrom="paragraph">
                  <wp:posOffset>600710</wp:posOffset>
                </wp:positionV>
                <wp:extent cx="4133215" cy="725170"/>
                <wp:wrapSquare wrapText="bothSides"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33215" cy="725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9" w:lineRule="auto"/>
                              <w:ind w:left="0" w:right="0" w:firstLine="0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27D73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 xml:space="preserve">Жесткие требования и контроль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 xml:space="preserve">■ </w:t>
                            </w:r>
                            <w:r>
                              <w:rPr>
                                <w:color w:val="027D73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 xml:space="preserve">качества инвестиций,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ru-RU" w:eastAsia="ru-RU" w:bidi="ru-RU"/>
                              </w:rPr>
                              <w:t>регулярное стресс-тестирование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596.39999999999998pt;margin-top:47.300000000000004pt;width:325.44999999999999pt;height:57.100000000000001pt;z-index:-125829366;mso-wrap-distance-left:9.pt;mso-wrap-distance-top:46.300000000000004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0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27D73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 xml:space="preserve">Жесткие требования и контроль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 xml:space="preserve">■ </w:t>
                      </w:r>
                      <w:r>
                        <w:rPr>
                          <w:color w:val="027D73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 xml:space="preserve">качества инвестиций,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ru-RU" w:eastAsia="ru-RU" w:bidi="ru-RU"/>
                        </w:rPr>
                        <w:t>регулярное стресс-тестирование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 xml:space="preserve">Накопления в НПФ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застрахованы государством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7" w:val="left"/>
        </w:tabs>
        <w:bidi w:val="0"/>
        <w:spacing w:before="0" w:after="500" w:line="194" w:lineRule="auto"/>
        <w:ind w:left="440" w:right="0" w:hanging="440"/>
        <w:jc w:val="left"/>
      </w:pPr>
      <w:r>
        <w:rPr>
          <w:rFonts w:ascii="Arial" w:eastAsia="Arial" w:hAnsi="Arial" w:cs="Arial"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ПДС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единственная программа софинансируемая государством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7" w:val="left"/>
        </w:tabs>
        <w:bidi w:val="0"/>
        <w:spacing w:before="0" w:after="1080" w:line="194" w:lineRule="auto"/>
        <w:ind w:left="0" w:right="0" w:firstLine="0"/>
        <w:jc w:val="left"/>
        <w:rPr>
          <w:sz w:val="36"/>
          <w:szCs w:val="36"/>
        </w:rPr>
      </w:pPr>
      <w:r>
        <w:rPr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Отдельный налоговый вычет </w:t>
      </w:r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до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400 тыс. руб.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50"/>
          <w:szCs w:val="50"/>
        </w:rPr>
      </w:pPr>
      <w:r>
        <w:drawing>
          <wp:anchor distT="0" distB="0" distL="0" distR="0" simplePos="0" relativeHeight="125829389" behindDoc="0" locked="0" layoutInCell="1" allowOverlap="1">
            <wp:simplePos x="0" y="0"/>
            <wp:positionH relativeFrom="page">
              <wp:posOffset>10878185</wp:posOffset>
            </wp:positionH>
            <wp:positionV relativeFrom="paragraph">
              <wp:posOffset>165100</wp:posOffset>
            </wp:positionV>
            <wp:extent cx="1316990" cy="121920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12528"/>
                <wp:lineTo x="3107" y="12528"/>
                <wp:lineTo x="3107" y="8370"/>
                <wp:lineTo x="0" y="8370"/>
                <wp:lineTo x="0" y="0"/>
              </wp:wrapPolygon>
            </wp:wrapTight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316990" cy="12192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color w:val="0EB5B5"/>
          <w:spacing w:val="0"/>
          <w:w w:val="100"/>
          <w:position w:val="0"/>
          <w:sz w:val="50"/>
          <w:szCs w:val="50"/>
          <w:shd w:val="clear" w:color="auto" w:fill="auto"/>
          <w:lang w:val="ru-RU" w:eastAsia="ru-RU" w:bidi="ru-RU"/>
        </w:rPr>
        <w:t>Доверие граждан и работодателей к НПФ</w:t>
      </w:r>
    </w:p>
    <w:p>
      <w:pPr>
        <w:pStyle w:val="Style2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7" w:val="left"/>
        </w:tabs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 2001 года количество клиентов </w:t>
      </w:r>
      <w:r>
        <w:rPr>
          <w:rFonts w:ascii="Arial" w:eastAsia="Arial" w:hAnsi="Arial" w:cs="Arial"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выросло более чем в 10 раз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 </w:t>
      </w:r>
      <w:r>
        <w:rPr>
          <w:rFonts w:ascii="Arial" w:eastAsia="Arial" w:hAnsi="Arial" w:cs="Arial"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4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млн до </w:t>
      </w:r>
      <w:r>
        <w:rPr>
          <w:rFonts w:ascii="Arial" w:eastAsia="Arial" w:hAnsi="Arial" w:cs="Arial"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42,5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млн человек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11128375</wp:posOffset>
            </wp:positionH>
            <wp:positionV relativeFrom="paragraph">
              <wp:posOffset>317500</wp:posOffset>
            </wp:positionV>
            <wp:extent cx="1066800" cy="1121410"/>
            <wp:wrapSquare wrapText="bothSides"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066800" cy="11214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I- Активы под управлением увеличились с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0,1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трлн руб. до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5,1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трлн руб. (ОПС и НПО)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537" w:right="763" w:bottom="38" w:left="57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В 2023 году НПФ выплатили более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130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млрд руб. пенсий (ОПС и НПО)</w:t>
      </w:r>
    </w:p>
    <w:p>
      <w:pPr>
        <w:pStyle w:val="Style15"/>
        <w:keepNext/>
        <w:keepLines/>
        <w:framePr w:w="8227" w:h="653" w:wrap="none" w:hAnchor="page" w:x="68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Защита накоплении граждан</w:t>
      </w:r>
      <w:bookmarkEnd w:id="6"/>
    </w:p>
    <w:p>
      <w:pPr>
        <w:pStyle w:val="Style15"/>
        <w:keepNext/>
        <w:keepLines/>
        <w:framePr w:w="1757" w:h="643" w:wrap="none" w:hAnchor="page" w:x="9006" w:y="6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ПДС</w:t>
      </w:r>
      <w:bookmarkEnd w:id="8"/>
    </w:p>
    <w:p>
      <w:pPr>
        <w:pStyle w:val="Style5"/>
        <w:keepNext w:val="0"/>
        <w:keepLines w:val="0"/>
        <w:framePr w:w="7795" w:h="821" w:wrap="none" w:hAnchor="page" w:x="759" w:y="1153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Доходность или сохранность сбережений?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(результаты социологического опроса)</w:t>
      </w:r>
    </w:p>
    <w:p>
      <w:pPr>
        <w:pStyle w:val="Style2"/>
        <w:keepNext w:val="0"/>
        <w:keepLines w:val="0"/>
        <w:framePr w:w="4454" w:h="298" w:wrap="none" w:hAnchor="page" w:x="937" w:y="97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*Данные исследований Банка России</w:t>
      </w:r>
    </w:p>
    <w:p>
      <w:pPr>
        <w:pStyle w:val="Style8"/>
        <w:keepNext w:val="0"/>
        <w:keepLines w:val="0"/>
        <w:framePr w:w="538" w:h="365" w:wrap="none" w:hAnchor="page" w:x="10057" w:y="81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0%</w:t>
      </w:r>
    </w:p>
    <w:p>
      <w:pPr>
        <w:pStyle w:val="Style2"/>
        <w:keepNext w:val="0"/>
        <w:keepLines w:val="0"/>
        <w:framePr w:w="734" w:h="365" w:wrap="none" w:hAnchor="page" w:x="9855" w:y="2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60%</w:t>
      </w:r>
    </w:p>
    <w:p>
      <w:pPr>
        <w:pStyle w:val="Style2"/>
        <w:keepNext w:val="0"/>
        <w:keepLines w:val="0"/>
        <w:framePr w:w="1762" w:h="456" w:wrap="none" w:hAnchor="page" w:x="11645" w:y="4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Инфляция</w:t>
      </w:r>
    </w:p>
    <w:p>
      <w:pPr>
        <w:pStyle w:val="Style2"/>
        <w:keepNext w:val="0"/>
        <w:keepLines w:val="0"/>
        <w:framePr w:w="725" w:h="365" w:wrap="none" w:hAnchor="page" w:x="9874" w:y="5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30%</w:t>
      </w:r>
    </w:p>
    <w:p>
      <w:pPr>
        <w:pStyle w:val="Style2"/>
        <w:keepNext w:val="0"/>
        <w:keepLines w:val="0"/>
        <w:framePr w:w="763" w:h="456" w:wrap="none" w:hAnchor="page" w:x="17439" w:y="2612"/>
        <w:widowControl w:val="0"/>
        <w:pBdr>
          <w:top w:val="single" w:sz="0" w:space="0" w:color="0DB6B5"/>
          <w:left w:val="single" w:sz="0" w:space="0" w:color="0DB6B5"/>
          <w:bottom w:val="single" w:sz="0" w:space="0" w:color="0DB6B5"/>
          <w:right w:val="single" w:sz="0" w:space="0" w:color="0DB6B5"/>
        </w:pBdr>
        <w:shd w:val="clear" w:color="auto" w:fill="0DB6B5"/>
        <w:bidi w:val="0"/>
        <w:spacing w:before="0" w:after="0" w:line="240" w:lineRule="auto"/>
        <w:ind w:left="0" w:right="0" w:firstLine="0"/>
        <w:jc w:val="right"/>
        <w:rPr>
          <w:sz w:val="38"/>
          <w:szCs w:val="38"/>
        </w:rPr>
      </w:pPr>
      <w:r>
        <w:rPr>
          <w:rFonts w:ascii="Times New Roman" w:eastAsia="Times New Roman" w:hAnsi="Times New Roman" w:cs="Times New Roman"/>
          <w:color w:val="FFFFFF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54%</w:t>
      </w:r>
    </w:p>
    <w:p>
      <w:pPr>
        <w:pStyle w:val="Style2"/>
        <w:keepNext w:val="0"/>
        <w:keepLines w:val="0"/>
        <w:framePr w:w="2390" w:h="749" w:wrap="none" w:hAnchor="page" w:x="11631" w:y="2982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Пенсионные резервы НПФ</w:t>
      </w:r>
    </w:p>
    <w:p>
      <w:pPr>
        <w:pStyle w:val="Style2"/>
        <w:keepNext w:val="0"/>
        <w:keepLines w:val="0"/>
        <w:framePr w:w="2477" w:h="1771" w:wrap="none" w:hAnchor="page" w:x="15956" w:y="5348"/>
        <w:widowControl w:val="0"/>
        <w:shd w:val="clear" w:color="auto" w:fill="auto"/>
        <w:bidi w:val="0"/>
        <w:spacing w:before="0" w:after="0" w:line="158" w:lineRule="auto"/>
        <w:ind w:left="0" w:right="0" w:firstLine="0"/>
        <w:jc w:val="center"/>
        <w:rPr>
          <w:sz w:val="32"/>
          <w:szCs w:val="32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НПФ сохраняет накопления от инфляции на длительном периоде времени</w:t>
      </w:r>
    </w:p>
    <w:p>
      <w:pPr>
        <w:pStyle w:val="Style2"/>
        <w:keepNext w:val="0"/>
        <w:keepLines w:val="0"/>
        <w:framePr w:w="2981" w:h="782" w:wrap="none" w:hAnchor="page" w:x="11636" w:y="38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Пенсионные</w:t>
      </w:r>
    </w:p>
    <w:p>
      <w:pPr>
        <w:pStyle w:val="Style2"/>
        <w:keepNext w:val="0"/>
        <w:keepLines w:val="0"/>
        <w:framePr w:w="2981" w:h="782" w:wrap="none" w:hAnchor="page" w:x="11636" w:y="3879"/>
        <w:widowControl w:val="0"/>
        <w:shd w:val="clear" w:color="auto" w:fill="auto"/>
        <w:bidi w:val="0"/>
        <w:spacing w:before="0" w:after="0" w:line="19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накопления НПФ</w:t>
      </w:r>
    </w:p>
    <w:p>
      <w:pPr>
        <w:pStyle w:val="Style2"/>
        <w:keepNext w:val="0"/>
        <w:keepLines w:val="0"/>
        <w:framePr w:w="6739" w:h="696" w:wrap="none" w:hAnchor="page" w:x="10829" w:y="85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2017 2018 2019 2020 2021 2022 9 мес</w:t>
      </w:r>
    </w:p>
    <w:p>
      <w:pPr>
        <w:pStyle w:val="Style2"/>
        <w:keepNext w:val="0"/>
        <w:keepLines w:val="0"/>
        <w:framePr w:w="6739" w:h="696" w:wrap="none" w:hAnchor="page" w:x="10829" w:y="8569"/>
        <w:widowControl w:val="0"/>
        <w:shd w:val="clear" w:color="auto" w:fill="auto"/>
        <w:bidi w:val="0"/>
        <w:spacing w:before="0" w:after="0" w:line="230" w:lineRule="auto"/>
        <w:ind w:left="0" w:right="180" w:firstLine="0"/>
        <w:jc w:val="right"/>
        <w:rPr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2023</w:t>
      </w:r>
    </w:p>
    <w:p>
      <w:pPr>
        <w:pStyle w:val="Style2"/>
        <w:keepNext w:val="0"/>
        <w:keepLines w:val="0"/>
        <w:framePr w:w="5530" w:h="821" w:wrap="none" w:hAnchor="page" w:x="9548" w:y="110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  <w:rPr>
          <w:sz w:val="38"/>
          <w:szCs w:val="3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Накопленная </w:t>
      </w:r>
      <w:r>
        <w:rPr>
          <w:rFonts w:ascii="Arial" w:eastAsia="Arial" w:hAnsi="Arial" w:cs="Arial"/>
          <w:color w:val="0EB5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доходность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НПФ в сравнении </w:t>
      </w:r>
      <w:r>
        <w:rPr>
          <w:rFonts w:ascii="Arial" w:eastAsia="Arial" w:hAnsi="Arial" w:cs="Arial"/>
          <w:color w:val="0EB5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с инфляцией</w:t>
      </w:r>
    </w:p>
    <w:p>
      <w:pPr>
        <w:pStyle w:val="Style2"/>
        <w:keepNext w:val="0"/>
        <w:keepLines w:val="0"/>
        <w:framePr w:w="533" w:h="643" w:wrap="none" w:hAnchor="page" w:x="17247" w:y="33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52%</w:t>
      </w:r>
    </w:p>
    <w:p>
      <w:pPr>
        <w:pStyle w:val="Style2"/>
        <w:keepNext w:val="0"/>
        <w:keepLines w:val="0"/>
        <w:framePr w:w="533" w:h="643" w:wrap="none" w:hAnchor="page" w:x="17247" w:y="33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47%</w:t>
      </w:r>
    </w:p>
    <w:p>
      <w:pPr>
        <w:widowControl w:val="0"/>
        <w:spacing w:line="360" w:lineRule="exact"/>
      </w:pPr>
      <w:r>
        <w:drawing>
          <wp:anchor distT="0" distB="594360" distL="0" distR="0" simplePos="0" relativeHeight="62914701" behindDoc="1" locked="0" layoutInCell="1" allowOverlap="1">
            <wp:simplePos x="0" y="0"/>
            <wp:positionH relativeFrom="page">
              <wp:posOffset>466090</wp:posOffset>
            </wp:positionH>
            <wp:positionV relativeFrom="margin">
              <wp:posOffset>1532890</wp:posOffset>
            </wp:positionV>
            <wp:extent cx="4986655" cy="4243070"/>
            <wp:wrapNone/>
            <wp:docPr id="40" name="Shap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4986655" cy="424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716280" distL="1017905" distR="0" simplePos="0" relativeHeight="62914702" behindDoc="1" locked="0" layoutInCell="1" allowOverlap="1">
            <wp:simplePos x="0" y="0"/>
            <wp:positionH relativeFrom="page">
              <wp:posOffset>7080250</wp:posOffset>
            </wp:positionH>
            <wp:positionV relativeFrom="margin">
              <wp:posOffset>73025</wp:posOffset>
            </wp:positionV>
            <wp:extent cx="4730750" cy="5096510"/>
            <wp:wrapNone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4730750" cy="5096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06680" distR="0" simplePos="0" relativeHeight="62914703" behindDoc="1" locked="0" layoutInCell="1" allowOverlap="1">
            <wp:simplePos x="0" y="0"/>
            <wp:positionH relativeFrom="page">
              <wp:posOffset>11057890</wp:posOffset>
            </wp:positionH>
            <wp:positionV relativeFrom="margin">
              <wp:posOffset>2063750</wp:posOffset>
            </wp:positionV>
            <wp:extent cx="499745" cy="1195070"/>
            <wp:wrapNone/>
            <wp:docPr id="44" name="Shap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499745" cy="1195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200" w:h="11076" w:orient="landscape"/>
          <w:pgMar w:top="560" w:right="604" w:bottom="288" w:left="6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241300" distB="165100" distL="114300" distR="114300" simplePos="0" relativeHeight="125829391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316865</wp:posOffset>
                </wp:positionV>
                <wp:extent cx="3742690" cy="408305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4269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Виды выплат по ПДС</w:t>
                            </w:r>
                            <w:bookmarkEnd w:id="1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6.pt;margin-top:24.949999999999999pt;width:294.69999999999999pt;height:32.149999999999999pt;z-index:-125829362;mso-wrap-distance-left:9.pt;mso-wrap-distance-top:19.pt;mso-wrap-distance-right:9.pt;mso-wrap-distance-bottom:13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Виды выплат по ПДС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10067290</wp:posOffset>
            </wp:positionH>
            <wp:positionV relativeFrom="paragraph">
              <wp:posOffset>12700</wp:posOffset>
            </wp:positionV>
            <wp:extent cx="2127250" cy="2987040"/>
            <wp:wrapSquare wrapText="bothSides"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127250" cy="2987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52"/>
          <w:szCs w:val="52"/>
        </w:rPr>
      </w:pPr>
      <w:r>
        <w:rPr>
          <w:rFonts w:ascii="Calibri" w:eastAsia="Calibri" w:hAnsi="Calibri" w:cs="Calibri"/>
          <w:color w:val="0EB5B5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Периодические выплаты: основания для назначения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120" w:right="0" w:firstLine="320"/>
        <w:jc w:val="left"/>
      </w:pPr>
      <w:r>
        <w:rPr>
          <w:color w:val="027D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(А)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 действия договора не менее чем 15 лет или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100" w:line="226" w:lineRule="auto"/>
        <w:ind w:left="0" w:right="0" w:firstLine="0"/>
        <w:jc w:val="center"/>
      </w:pPr>
      <w:r>
        <w:rPr>
          <w:smallCaps/>
          <w:color w:val="027D73"/>
          <w:spacing w:val="0"/>
          <w:w w:val="100"/>
          <w:position w:val="0"/>
          <w:sz w:val="44"/>
          <w:szCs w:val="44"/>
          <w:shd w:val="clear" w:color="auto" w:fill="auto"/>
          <w:lang w:val="ru-RU" w:eastAsia="ru-RU" w:bidi="ru-RU"/>
        </w:rPr>
        <w:t>(б)</w:t>
      </w:r>
      <w:r>
        <w:rPr>
          <w:color w:val="027D7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Достижение возраста 55 женщины/60 мужчины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52"/>
          <w:szCs w:val="52"/>
        </w:rPr>
        <w:sectPr>
          <w:footnotePr>
            <w:pos w:val="pageBottom"/>
            <w:numFmt w:val="decimal"/>
            <w:numRestart w:val="continuous"/>
          </w:footnotePr>
          <w:pgSz w:w="19200" w:h="11076" w:orient="landscape"/>
          <w:pgMar w:top="138" w:right="3734" w:bottom="188" w:left="3638" w:header="0" w:footer="3" w:gutter="0"/>
          <w:cols w:space="720"/>
          <w:noEndnote/>
          <w:rtlGutter w:val="0"/>
          <w:docGrid w:linePitch="360"/>
        </w:sectPr>
      </w:pPr>
      <w:r>
        <w:rPr>
          <w:rFonts w:ascii="Calibri" w:eastAsia="Calibri" w:hAnsi="Calibri" w:cs="Calibri"/>
          <w:color w:val="0EB5B5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Варианты выплаты накоплений:</w:t>
      </w: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138" w:right="0" w:bottom="1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86" w:h="720" w:wrap="none" w:vAnchor="text" w:hAnchor="page" w:x="630" w:y="231"/>
        <w:widowControl w:val="0"/>
        <w:shd w:val="clear" w:color="auto" w:fill="auto"/>
        <w:bidi w:val="0"/>
        <w:spacing w:before="0" w:after="40" w:line="226" w:lineRule="auto"/>
        <w:ind w:left="0" w:right="0" w:firstLine="0"/>
        <w:jc w:val="both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EB5B5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I I I</w:t>
      </w:r>
    </w:p>
    <w:p>
      <w:pPr>
        <w:pStyle w:val="Style8"/>
        <w:keepNext w:val="0"/>
        <w:keepLines w:val="0"/>
        <w:framePr w:w="86" w:h="720" w:wrap="none" w:vAnchor="text" w:hAnchor="page" w:x="630" w:y="2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EB5B5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 xml:space="preserve">I </w:t>
      </w:r>
      <w:r>
        <w:rPr>
          <w:rFonts w:ascii="Times New Roman" w:eastAsia="Times New Roman" w:hAnsi="Times New Roman" w:cs="Times New Roman"/>
          <w:color w:val="0EB5B5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I</w:t>
      </w:r>
    </w:p>
    <w:p>
      <w:pPr>
        <w:pStyle w:val="Style20"/>
        <w:keepNext w:val="0"/>
        <w:keepLines w:val="0"/>
        <w:framePr w:w="2899" w:h="773" w:wrap="none" w:vAnchor="text" w:hAnchor="page" w:x="1009" w:y="21"/>
        <w:widowControl w:val="0"/>
        <w:pBdr>
          <w:top w:val="single" w:sz="0" w:space="0" w:color="0EB6B7"/>
          <w:left w:val="single" w:sz="0" w:space="0" w:color="0EB6B7"/>
          <w:bottom w:val="single" w:sz="0" w:space="0" w:color="0EB6B7"/>
          <w:right w:val="single" w:sz="0" w:space="0" w:color="0EB6B7"/>
        </w:pBdr>
        <w:shd w:val="clear" w:color="auto" w:fill="0EB6B7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Пери оди</w:t>
      </w:r>
      <w:r>
        <w:rPr>
          <w:color w:val="FFFFFF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ческие </w:t>
      </w: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вы пл атыБК.</w:t>
      </w:r>
    </w:p>
    <w:p>
      <w:pPr>
        <w:pStyle w:val="Style20"/>
        <w:keepNext w:val="0"/>
        <w:keepLines w:val="0"/>
        <w:framePr w:w="3792" w:h="797" w:wrap="none" w:vAnchor="text" w:hAnchor="page" w:x="5478" w:y="21"/>
        <w:widowControl w:val="0"/>
        <w:pBdr>
          <w:top w:val="single" w:sz="0" w:space="0" w:color="0EB6B7"/>
          <w:left w:val="single" w:sz="0" w:space="0" w:color="0EB6B7"/>
          <w:bottom w:val="single" w:sz="0" w:space="0" w:color="0EB6B7"/>
          <w:right w:val="single" w:sz="0" w:space="0" w:color="0EB6B7"/>
        </w:pBdr>
        <w:shd w:val="clear" w:color="auto" w:fill="0EB6B7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Выплаты в особой ■ жизненной ситуации</w:t>
      </w:r>
    </w:p>
    <w:p>
      <w:pPr>
        <w:pStyle w:val="Style20"/>
        <w:keepNext w:val="0"/>
        <w:keepLines w:val="0"/>
        <w:framePr w:w="3394" w:h="806" w:wrap="none" w:vAnchor="text" w:hAnchor="page" w:x="9975" w:y="21"/>
        <w:widowControl w:val="0"/>
        <w:pBdr>
          <w:top w:val="single" w:sz="0" w:space="0" w:color="0EB6B7"/>
          <w:left w:val="single" w:sz="0" w:space="0" w:color="0EB6B7"/>
          <w:bottom w:val="single" w:sz="0" w:space="0" w:color="0EB6B7"/>
          <w:right w:val="single" w:sz="0" w:space="0" w:color="0EB6B7"/>
        </w:pBdr>
        <w:shd w:val="clear" w:color="auto" w:fill="0EB6B7"/>
        <w:bidi w:val="0"/>
        <w:spacing w:before="0" w:after="0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Выпла</w:t>
      </w:r>
      <w:r>
        <w:rPr>
          <w:color w:val="FFFFFF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та выкупной </w:t>
      </w: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сум м</w:t>
      </w:r>
    </w:p>
    <w:p>
      <w:pPr>
        <w:pStyle w:val="Style20"/>
        <w:keepNext w:val="0"/>
        <w:keepLines w:val="0"/>
        <w:framePr w:w="2328" w:h="782" w:wrap="none" w:vAnchor="text" w:hAnchor="page" w:x="14502" w:y="21"/>
        <w:widowControl w:val="0"/>
        <w:pBdr>
          <w:top w:val="single" w:sz="0" w:space="0" w:color="0EB6B7"/>
          <w:left w:val="single" w:sz="0" w:space="0" w:color="0EB6B7"/>
          <w:bottom w:val="single" w:sz="0" w:space="0" w:color="0EB6B7"/>
          <w:right w:val="single" w:sz="0" w:space="0" w:color="0EB6B7"/>
        </w:pBdr>
        <w:shd w:val="clear" w:color="auto" w:fill="0EB6B7"/>
        <w:bidi w:val="0"/>
        <w:spacing w:before="0" w:after="0" w:line="206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Выплата наследникам</w:t>
      </w:r>
    </w:p>
    <w:p>
      <w:pPr>
        <w:pStyle w:val="Style5"/>
        <w:keepNext w:val="0"/>
        <w:keepLines w:val="0"/>
        <w:framePr w:w="4123" w:h="2592" w:wrap="none" w:vAnchor="text" w:hAnchor="page" w:x="572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т-** Пожизненно</w:t>
      </w:r>
    </w:p>
    <w:p>
      <w:pPr>
        <w:pStyle w:val="Style8"/>
        <w:keepNext w:val="0"/>
        <w:keepLines w:val="0"/>
        <w:framePr w:w="4123" w:h="2592" w:wrap="none" w:vAnchor="text" w:hAnchor="page" w:x="572" w:y="12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EB5B5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I</w:t>
      </w:r>
    </w:p>
    <w:p>
      <w:pPr>
        <w:pStyle w:val="Style8"/>
        <w:keepNext w:val="0"/>
        <w:keepLines w:val="0"/>
        <w:framePr w:w="4123" w:h="2592" w:wrap="none" w:vAnchor="text" w:hAnchor="page" w:x="572" w:y="1244"/>
        <w:widowControl w:val="0"/>
        <w:shd w:val="clear" w:color="auto" w:fill="auto"/>
        <w:bidi w:val="0"/>
        <w:spacing w:before="0" w:after="40" w:line="223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EB5B5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I</w:t>
      </w:r>
    </w:p>
    <w:p>
      <w:pPr>
        <w:pStyle w:val="Style8"/>
        <w:keepNext w:val="0"/>
        <w:keepLines w:val="0"/>
        <w:framePr w:w="4123" w:h="2592" w:wrap="none" w:vAnchor="text" w:hAnchor="page" w:x="572" w:y="1244"/>
        <w:widowControl w:val="0"/>
        <w:shd w:val="clear" w:color="auto" w:fill="auto"/>
        <w:bidi w:val="0"/>
        <w:spacing w:before="0" w:after="40" w:line="223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EB5B5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I</w:t>
      </w:r>
    </w:p>
    <w:p>
      <w:pPr>
        <w:pStyle w:val="Style8"/>
        <w:keepNext w:val="0"/>
        <w:keepLines w:val="0"/>
        <w:framePr w:w="4123" w:h="2592" w:wrap="none" w:vAnchor="text" w:hAnchor="page" w:x="572" w:y="1244"/>
        <w:widowControl w:val="0"/>
        <w:shd w:val="clear" w:color="auto" w:fill="auto"/>
        <w:bidi w:val="0"/>
        <w:spacing w:before="0" w:after="40" w:line="23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EB5B5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I</w:t>
      </w:r>
    </w:p>
    <w:p>
      <w:pPr>
        <w:pStyle w:val="Style5"/>
        <w:keepNext w:val="0"/>
        <w:keepLines w:val="0"/>
        <w:framePr w:w="4123" w:h="2592" w:wrap="none" w:vAnchor="text" w:hAnchor="page" w:x="572" w:y="1244"/>
        <w:widowControl w:val="0"/>
        <w:shd w:val="clear" w:color="auto" w:fill="auto"/>
        <w:bidi w:val="0"/>
        <w:spacing w:before="0" w:line="194" w:lineRule="auto"/>
        <w:ind w:left="760" w:right="0" w:hanging="76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f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-*♦ На срок не менее 10 лет</w:t>
      </w:r>
    </w:p>
    <w:p>
      <w:pPr>
        <w:pStyle w:val="Style8"/>
        <w:keepNext w:val="0"/>
        <w:keepLines w:val="0"/>
        <w:framePr w:w="4123" w:h="2592" w:wrap="none" w:vAnchor="text" w:hAnchor="page" w:x="572" w:y="124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color w:val="0EB5B5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I</w:t>
      </w:r>
    </w:p>
    <w:p>
      <w:pPr>
        <w:pStyle w:val="Style5"/>
        <w:keepNext w:val="0"/>
        <w:keepLines w:val="0"/>
        <w:framePr w:w="4123" w:h="2592" w:wrap="none" w:vAnchor="text" w:hAnchor="page" w:x="572" w:y="1244"/>
        <w:widowControl w:val="0"/>
        <w:shd w:val="clear" w:color="auto" w:fill="auto"/>
        <w:bidi w:val="0"/>
        <w:spacing w:before="0" w:line="197" w:lineRule="auto"/>
        <w:ind w:left="760" w:right="0" w:hanging="7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*На иной срок предусмотренный</w:t>
      </w:r>
    </w:p>
    <w:p>
      <w:pPr>
        <w:pStyle w:val="Style5"/>
        <w:keepNext w:val="0"/>
        <w:keepLines w:val="0"/>
        <w:framePr w:w="4214" w:h="1349" w:wrap="none" w:vAnchor="text" w:hAnchor="page" w:x="5070" w:y="1302"/>
        <w:widowControl w:val="0"/>
        <w:shd w:val="clear" w:color="auto" w:fill="auto"/>
        <w:bidi w:val="0"/>
        <w:spacing w:before="0" w:after="220" w:line="194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t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— Дорогостоящие</w:t>
        <w:br/>
        <w:t>виды лечения</w:t>
      </w:r>
    </w:p>
    <w:p>
      <w:pPr>
        <w:pStyle w:val="Style5"/>
        <w:keepNext w:val="0"/>
        <w:keepLines w:val="0"/>
        <w:framePr w:w="4214" w:h="1349" w:wrap="none" w:vAnchor="text" w:hAnchor="page" w:x="5070" w:y="1302"/>
        <w:widowControl w:val="0"/>
        <w:shd w:val="clear" w:color="auto" w:fill="auto"/>
        <w:bidi w:val="0"/>
        <w:spacing w:before="0" w:after="0" w:line="19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*--♦ Потеря кормильца</w:t>
      </w:r>
    </w:p>
    <w:p>
      <w:pPr>
        <w:pStyle w:val="Style5"/>
        <w:keepNext w:val="0"/>
        <w:keepLines w:val="0"/>
        <w:framePr w:w="3475" w:h="1118" w:wrap="none" w:vAnchor="text" w:hAnchor="page" w:x="10283" w:y="1297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 счет личных взносов участника</w:t>
      </w:r>
    </w:p>
    <w:p>
      <w:pPr>
        <w:pStyle w:val="Style5"/>
        <w:keepNext w:val="0"/>
        <w:keepLines w:val="0"/>
        <w:framePr w:w="3475" w:h="1118" w:wrap="none" w:vAnchor="text" w:hAnchor="page" w:x="10283" w:y="1297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ПДС</w:t>
      </w:r>
    </w:p>
    <w:p>
      <w:pPr>
        <w:pStyle w:val="Style20"/>
        <w:keepNext w:val="0"/>
        <w:keepLines w:val="0"/>
        <w:framePr w:w="3466" w:h="2189" w:wrap="none" w:vAnchor="text" w:hAnchor="page" w:x="14761" w:y="1302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left"/>
      </w:pPr>
      <w:r>
        <w:rPr>
          <w:rFonts w:ascii="Arial" w:eastAsia="Arial" w:hAnsi="Arial" w:cs="Arial"/>
          <w:color w:val="0EB5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В случае смерти участника ПДС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(исключение - пожизненная выплата участнику ПДС)</w:t>
      </w:r>
    </w:p>
    <w:p>
      <w:pPr>
        <w:pStyle w:val="Style5"/>
        <w:keepNext w:val="0"/>
        <w:keepLines w:val="0"/>
        <w:framePr w:w="2011" w:h="470" w:wrap="none" w:vAnchor="text" w:hAnchor="page" w:x="1331" w:y="38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договором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138" w:right="0" w:bottom="138" w:left="5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framePr w:w="8429" w:h="667" w:wrap="none" w:hAnchor="page" w:x="67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4 шага для вступления в ПДС</w:t>
      </w:r>
      <w:bookmarkEnd w:id="12"/>
    </w:p>
    <w:p>
      <w:pPr>
        <w:pStyle w:val="Style20"/>
        <w:keepNext w:val="0"/>
        <w:keepLines w:val="0"/>
        <w:framePr w:w="3245" w:h="475" w:wrap="none" w:hAnchor="page" w:x="1033" w:y="4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Принять решение</w:t>
      </w:r>
    </w:p>
    <w:p>
      <w:pPr>
        <w:pStyle w:val="Style20"/>
        <w:keepNext w:val="0"/>
        <w:keepLines w:val="0"/>
        <w:framePr w:w="2770" w:h="811" w:wrap="none" w:hAnchor="page" w:x="1023" w:y="5051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подключении к ПДС</w:t>
      </w:r>
    </w:p>
    <w:p>
      <w:pPr>
        <w:pStyle w:val="Style20"/>
        <w:keepNext w:val="0"/>
        <w:keepLines w:val="0"/>
        <w:framePr w:w="3509" w:h="2093" w:wrap="none" w:hAnchor="page" w:x="10187" w:y="4609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Заключить договор с выбранным НПФ - на сайте, в мобильном приложении, или очно</w:t>
      </w:r>
    </w:p>
    <w:p>
      <w:pPr>
        <w:pStyle w:val="Style20"/>
        <w:keepNext w:val="0"/>
        <w:keepLines w:val="0"/>
        <w:framePr w:w="3115" w:h="1440" w:wrap="none" w:hAnchor="page" w:x="14785" w:y="4609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Вносить взносы в любом размере и с любой периодичностью</w:t>
      </w:r>
    </w:p>
    <w:p>
      <w:pPr>
        <w:pStyle w:val="Style8"/>
        <w:keepNext w:val="0"/>
        <w:keepLines w:val="0"/>
        <w:framePr w:w="922" w:h="840" w:wrap="none" w:hAnchor="page" w:x="2372" w:y="80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68"/>
          <w:szCs w:val="68"/>
        </w:rPr>
      </w:pP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68"/>
          <w:szCs w:val="68"/>
          <w:shd w:val="clear" w:color="auto" w:fill="auto"/>
          <w:lang w:val="ru-RU" w:eastAsia="ru-RU" w:bidi="ru-RU"/>
        </w:rPr>
        <w:t>01</w:t>
      </w:r>
    </w:p>
    <w:p>
      <w:pPr>
        <w:pStyle w:val="Style8"/>
        <w:keepNext w:val="0"/>
        <w:keepLines w:val="0"/>
        <w:framePr w:w="979" w:h="840" w:wrap="none" w:hAnchor="page" w:x="6923" w:y="8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8"/>
          <w:szCs w:val="68"/>
        </w:rPr>
      </w:pP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68"/>
          <w:szCs w:val="68"/>
          <w:shd w:val="clear" w:color="auto" w:fill="auto"/>
          <w:lang w:val="ru-RU" w:eastAsia="ru-RU" w:bidi="ru-RU"/>
        </w:rPr>
        <w:t>02</w:t>
      </w:r>
    </w:p>
    <w:p>
      <w:pPr>
        <w:pStyle w:val="Style8"/>
        <w:keepNext w:val="0"/>
        <w:keepLines w:val="0"/>
        <w:framePr w:w="970" w:h="840" w:wrap="none" w:hAnchor="page" w:x="11511" w:y="80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68"/>
          <w:szCs w:val="68"/>
        </w:rPr>
      </w:pP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68"/>
          <w:szCs w:val="68"/>
          <w:shd w:val="clear" w:color="auto" w:fill="auto"/>
          <w:lang w:val="ru-RU" w:eastAsia="ru-RU" w:bidi="ru-RU"/>
        </w:rPr>
        <w:t>03</w:t>
      </w:r>
    </w:p>
    <w:p>
      <w:pPr>
        <w:pStyle w:val="Style8"/>
        <w:keepNext w:val="0"/>
        <w:keepLines w:val="0"/>
        <w:framePr w:w="989" w:h="840" w:wrap="none" w:hAnchor="page" w:x="16091" w:y="8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68"/>
          <w:szCs w:val="68"/>
        </w:rPr>
      </w:pP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68"/>
          <w:szCs w:val="68"/>
          <w:shd w:val="clear" w:color="auto" w:fill="auto"/>
          <w:lang w:val="ru-RU" w:eastAsia="ru-RU" w:bidi="ru-RU"/>
        </w:rPr>
        <w:t>04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420370</wp:posOffset>
            </wp:positionH>
            <wp:positionV relativeFrom="margin">
              <wp:posOffset>987425</wp:posOffset>
            </wp:positionV>
            <wp:extent cx="2731135" cy="1456690"/>
            <wp:wrapNone/>
            <wp:docPr id="50" name="Shap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2731135" cy="1456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405130</wp:posOffset>
            </wp:positionH>
            <wp:positionV relativeFrom="margin">
              <wp:posOffset>4385945</wp:posOffset>
            </wp:positionV>
            <wp:extent cx="2761615" cy="615950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2761615" cy="615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3319145</wp:posOffset>
            </wp:positionH>
            <wp:positionV relativeFrom="margin">
              <wp:posOffset>984250</wp:posOffset>
            </wp:positionV>
            <wp:extent cx="2761615" cy="4017010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2761615" cy="4017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7129145</wp:posOffset>
            </wp:positionH>
            <wp:positionV relativeFrom="margin">
              <wp:posOffset>1456690</wp:posOffset>
            </wp:positionV>
            <wp:extent cx="956945" cy="1036320"/>
            <wp:wrapNone/>
            <wp:docPr id="56" name="Shap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956945" cy="1036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6239510</wp:posOffset>
            </wp:positionH>
            <wp:positionV relativeFrom="margin">
              <wp:posOffset>4385945</wp:posOffset>
            </wp:positionV>
            <wp:extent cx="2743200" cy="615950"/>
            <wp:wrapNone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2743200" cy="615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9150350</wp:posOffset>
            </wp:positionH>
            <wp:positionV relativeFrom="margin">
              <wp:posOffset>984250</wp:posOffset>
            </wp:positionV>
            <wp:extent cx="255905" cy="267970"/>
            <wp:wrapNone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25590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9982200</wp:posOffset>
            </wp:positionH>
            <wp:positionV relativeFrom="margin">
              <wp:posOffset>1502410</wp:posOffset>
            </wp:positionV>
            <wp:extent cx="1731010" cy="1127760"/>
            <wp:wrapNone/>
            <wp:docPr id="62" name="Shap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1731010" cy="1127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erReference w:type="default" r:id="rId59"/>
          <w:footerReference w:type="even" r:id="rId60"/>
          <w:footnotePr>
            <w:pos w:val="pageBottom"/>
            <w:numFmt w:val="decimal"/>
            <w:numRestart w:val="continuous"/>
          </w:footnotePr>
          <w:pgSz w:w="19200" w:h="11076" w:orient="landscape"/>
          <w:pgMar w:top="666" w:right="600" w:bottom="628" w:left="638" w:header="238" w:footer="3" w:gutter="0"/>
          <w:pgNumType w:start="6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61"/>
          <w:footerReference w:type="even" r:id="rId62"/>
          <w:footnotePr>
            <w:pos w:val="pageBottom"/>
            <w:numFmt w:val="decimal"/>
            <w:numRestart w:val="continuous"/>
          </w:footnotePr>
          <w:pgSz w:w="19200" w:h="11076" w:orient="landscape"/>
          <w:pgMar w:top="637" w:right="955" w:bottom="576" w:left="715" w:header="209" w:footer="148" w:gutter="0"/>
          <w:pgNumType w:start="9"/>
          <w:cols w:space="720"/>
          <w:noEndnote/>
          <w:rtlGutter w:val="0"/>
          <w:docGrid w:linePitch="360"/>
        </w:sectPr>
      </w:pPr>
      <w:bookmarkStart w:id="14" w:name="bookmark1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Как перевести средства накопительной пенсии по ОПС в ПДС</w:t>
      </w:r>
      <w:bookmarkEnd w:id="1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637" w:right="0" w:bottom="57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441960</wp:posOffset>
            </wp:positionH>
            <wp:positionV relativeFrom="paragraph">
              <wp:posOffset>12700</wp:posOffset>
            </wp:positionV>
            <wp:extent cx="267970" cy="267970"/>
            <wp:wrapNone/>
            <wp:docPr id="68" name="Shap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26797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1551305</wp:posOffset>
            </wp:positionH>
            <wp:positionV relativeFrom="paragraph">
              <wp:posOffset>12700</wp:posOffset>
            </wp:positionV>
            <wp:extent cx="3029585" cy="1347470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3029585" cy="1347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5623560</wp:posOffset>
            </wp:positionH>
            <wp:positionV relativeFrom="paragraph">
              <wp:posOffset>814070</wp:posOffset>
            </wp:positionV>
            <wp:extent cx="469265" cy="274320"/>
            <wp:wrapNone/>
            <wp:docPr id="72" name="Shap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box 73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469265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11195050</wp:posOffset>
            </wp:positionH>
            <wp:positionV relativeFrom="paragraph">
              <wp:posOffset>12700</wp:posOffset>
            </wp:positionV>
            <wp:extent cx="280670" cy="274320"/>
            <wp:wrapNone/>
            <wp:docPr id="74" name="Shap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2806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9375775</wp:posOffset>
            </wp:positionH>
            <wp:positionV relativeFrom="paragraph">
              <wp:posOffset>307975</wp:posOffset>
            </wp:positionV>
            <wp:extent cx="883920" cy="1060450"/>
            <wp:wrapNone/>
            <wp:docPr id="76" name="Shap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box 77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883920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637" w:right="955" w:bottom="576" w:left="69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637" w:right="0" w:bottom="57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0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 Узнать в каком НПФ сейчас находятся пенсионные накопления по ОПС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 Принять решение о переводе пенсионных накоплений по ОПС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Заключить договор ПДС с НПФ, в котором находятся пенсионные накопления по ОПС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637" w:right="1588" w:bottom="576" w:left="902" w:header="0" w:footer="3" w:gutter="0"/>
          <w:cols w:num="3" w:space="135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этом же НПФ подать заявление о переводе пенсионных накоплений по ОПС в ПДС - в личном кабинете на сайте, мобильном приложении НПФ или очно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94" behindDoc="0" locked="0" layoutInCell="1" allowOverlap="1">
            <wp:simplePos x="0" y="0"/>
            <wp:positionH relativeFrom="page">
              <wp:posOffset>3029585</wp:posOffset>
            </wp:positionH>
            <wp:positionV relativeFrom="paragraph">
              <wp:posOffset>301625</wp:posOffset>
            </wp:positionV>
            <wp:extent cx="713105" cy="609600"/>
            <wp:wrapSquare wrapText="left"/>
            <wp:docPr id="78" name="Shape 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box 79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713105" cy="609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00" w:line="211" w:lineRule="auto"/>
        <w:ind w:left="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Программу долгосрочных сбережений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68"/>
          <w:szCs w:val="68"/>
        </w:rPr>
      </w:pP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68"/>
          <w:szCs w:val="68"/>
          <w:shd w:val="clear" w:color="auto" w:fill="auto"/>
          <w:lang w:val="ru-RU" w:eastAsia="ru-RU" w:bidi="ru-RU"/>
        </w:rPr>
        <w:t>03</w:t>
      </w:r>
      <w:r>
        <w:br w:type="page"/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20" w:line="223" w:lineRule="auto"/>
        <w:ind w:left="0" w:right="0" w:firstLine="0"/>
        <w:jc w:val="left"/>
      </w:pPr>
      <w:r>
        <w:drawing>
          <wp:anchor distT="0" distB="327025" distL="755650" distR="0" simplePos="0" relativeHeight="125829395" behindDoc="0" locked="0" layoutInCell="1" allowOverlap="1">
            <wp:simplePos x="0" y="0"/>
            <wp:positionH relativeFrom="page">
              <wp:posOffset>1084580</wp:posOffset>
            </wp:positionH>
            <wp:positionV relativeFrom="margin">
              <wp:posOffset>-267970</wp:posOffset>
            </wp:positionV>
            <wp:extent cx="11027410" cy="2956560"/>
            <wp:wrapTopAndBottom/>
            <wp:docPr id="80" name="Shape 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box 81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11027410" cy="2956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328930</wp:posOffset>
                </wp:positionH>
                <wp:positionV relativeFrom="margin">
                  <wp:posOffset>1752600</wp:posOffset>
                </wp:positionV>
                <wp:extent cx="633730" cy="301625"/>
                <wp:wrapNone/>
                <wp:docPr id="82" name="Shape 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3A6A5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>2002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25.900000000000002pt;margin-top:138.pt;width:49.899999999999999pt;height:23.7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83A6A5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>2002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9752965</wp:posOffset>
                </wp:positionH>
                <wp:positionV relativeFrom="margin">
                  <wp:posOffset>1789430</wp:posOffset>
                </wp:positionV>
                <wp:extent cx="646430" cy="301625"/>
                <wp:wrapNone/>
                <wp:docPr id="84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643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27D73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>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767.95000000000005pt;margin-top:140.90000000000001pt;width:50.899999999999999pt;height:23.75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027D73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>2024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5016500</wp:posOffset>
                </wp:positionH>
                <wp:positionV relativeFrom="margin">
                  <wp:posOffset>1795780</wp:posOffset>
                </wp:positionV>
                <wp:extent cx="648970" cy="301625"/>
                <wp:wrapNone/>
                <wp:docPr id="86" name="Shape 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897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B5B5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>2014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395.pt;margin-top:141.40000000000001pt;width:51.100000000000001pt;height:23.75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0EB5B5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>2014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953770</wp:posOffset>
                </wp:positionH>
                <wp:positionV relativeFrom="margin">
                  <wp:posOffset>2463165</wp:posOffset>
                </wp:positionV>
                <wp:extent cx="3389630" cy="316865"/>
                <wp:wrapNone/>
                <wp:docPr id="88" name="Shape 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89630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EB5B5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 xml:space="preserve">16% </w:t>
                            </w:r>
                            <w:r>
                              <w:rPr>
                                <w:b/>
                                <w:bCs/>
                                <w:color w:val="0E173D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страховая пенсия (СФР)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75.100000000000009pt;margin-top:193.95000000000002pt;width:266.89999999999998pt;height:24.949999999999999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EB5B5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 xml:space="preserve">16% </w:t>
                      </w:r>
                      <w:r>
                        <w:rPr>
                          <w:b/>
                          <w:bCs/>
                          <w:color w:val="0E173D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страховая пенсия (СФР)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5690235</wp:posOffset>
                </wp:positionH>
                <wp:positionV relativeFrom="margin">
                  <wp:posOffset>2451100</wp:posOffset>
                </wp:positionV>
                <wp:extent cx="4578350" cy="539750"/>
                <wp:wrapNone/>
                <wp:docPr id="90" name="Shape 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8350" cy="539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420" w:right="0" w:hanging="4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EB5B5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 xml:space="preserve">■ 22%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направлялись на формирование страховой пенсии (СФР)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448.05000000000001pt;margin-top:193.pt;width:360.5pt;height:42.5pt;z-index:25165773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420" w:right="0" w:hanging="420"/>
                        <w:jc w:val="left"/>
                      </w:pPr>
                      <w:r>
                        <w:rPr>
                          <w:b/>
                          <w:bCs/>
                          <w:color w:val="0EB5B5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 xml:space="preserve">■ 22%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направлялись на формирование страховой пенсии (СФР)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16" w:name="bookmark1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Пенсионные накопления по ОПС - как формировались и у кого есть?</w:t>
      </w:r>
      <w:bookmarkEnd w:id="16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Обязательный платеж работодателя. 22% направлялись в СФР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100" w:after="560" w:line="211" w:lineRule="auto"/>
        <w:ind w:left="2060" w:right="0" w:firstLine="20"/>
        <w:jc w:val="lef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margin">
                  <wp:posOffset>3048000</wp:posOffset>
                </wp:positionV>
                <wp:extent cx="3569335" cy="786130"/>
                <wp:wrapSquare wrapText="right"/>
                <wp:docPr id="92" name="Shape 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9335" cy="786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EB5B5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  <w:lang w:val="ru-RU" w:eastAsia="ru-RU" w:bidi="ru-RU"/>
                              </w:rPr>
                              <w:t xml:space="preserve">6%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от ФОТ - отчисления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 накопительную часть пенсии (ОПС) - находятся в НПФ/СФР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76.100000000000009pt;margin-top:240.pt;width:281.05000000000001pt;height:61.899999999999999pt;z-index:-125829357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EB5B5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ru-RU" w:eastAsia="ru-RU" w:bidi="ru-RU"/>
                        </w:rPr>
                        <w:t xml:space="preserve">6%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 ФОТ - отчисления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 накопительную часть пенсии (ОПС) - находятся в НПФ/СФР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Пенсионные накопления по ОПС пополняются только за счет инвестиционного дохода НПФ/СФР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  <w:rPr>
          <w:sz w:val="38"/>
          <w:szCs w:val="38"/>
        </w:rPr>
      </w:pPr>
      <w:r>
        <w:rPr>
          <w:color w:val="0EB5B5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 xml:space="preserve">! ► </w:t>
      </w: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 xml:space="preserve">Формировалась за счет страховых взносов </w:t>
      </w:r>
      <w:r>
        <w:rPr>
          <w:rFonts w:ascii="Arial" w:eastAsia="Arial" w:hAnsi="Arial" w:cs="Arial"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у граждан 1967 - 1997 годов рождения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! в период с 2002 по 2013 гг.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320" w:right="0" w:hanging="540"/>
        <w:jc w:val="left"/>
      </w:pPr>
      <w:r>
        <w:rPr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! 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2014 года - мораторий на новые взносы, увеличение происходит только за счет инвестдохода, взносов по государственной программе софинансирования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20" w:line="204" w:lineRule="auto"/>
        <w:ind w:left="0" w:right="0" w:firstLine="780"/>
        <w:jc w:val="left"/>
      </w:pPr>
      <w:r>
        <w:rPr>
          <w:rFonts w:ascii="Arial Unicode MS" w:eastAsia="Arial Unicode MS" w:hAnsi="Arial Unicode MS" w:cs="Arial Unicode MS"/>
          <w:color w:val="0EB5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।</w:t>
      </w:r>
      <w:r>
        <w:rPr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Накопления по ОПС гражданина могут находиться в Социальном фонде России или НПФ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494" w:right="672" w:bottom="455" w:left="528" w:header="66" w:footer="27" w:gutter="0"/>
          <w:cols w:space="720"/>
          <w:noEndnote/>
          <w:rtlGutter w:val="0"/>
          <w:docGrid w:linePitch="360"/>
        </w:sectPr>
      </w:pPr>
      <w:r>
        <w:rPr>
          <w:color w:val="0EB5B5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Узнать размер накоплений и где они находятся можно на госуслугах ''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J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bookmarkStart w:id="18" w:name="bookmark1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Уникальность Программы</w:t>
      </w:r>
      <w:bookmarkEnd w:id="18"/>
    </w:p>
    <w:tbl>
      <w:tblPr>
        <w:tblOverlap w:val="never"/>
        <w:jc w:val="center"/>
        <w:tblLayout w:type="fixed"/>
      </w:tblPr>
      <w:tblGrid>
        <w:gridCol w:w="5376"/>
        <w:gridCol w:w="6605"/>
        <w:gridCol w:w="6019"/>
      </w:tblGrid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>
              <w:rPr>
                <w:rFonts w:ascii="Courier New" w:eastAsia="Courier New" w:hAnsi="Courier New" w:cs="Courier New"/>
                <w:color w:val="0E173D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пдс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57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38"/>
                <w:szCs w:val="38"/>
              </w:rPr>
            </w:pPr>
            <w:r>
              <w:rPr>
                <w:rFonts w:ascii="Tahoma" w:eastAsia="Tahoma" w:hAnsi="Tahoma" w:cs="Tahoma"/>
                <w:b/>
                <w:bCs/>
                <w:color w:val="0E173D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Депозит в банке</w:t>
              <w:tab/>
              <w:t>]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Софинансирование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 xml:space="preserve">до 36 000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руб.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78"/>
                <w:szCs w:val="78"/>
              </w:rPr>
            </w:pPr>
            <w:r>
              <w:rPr>
                <w:rFonts w:ascii="Arial" w:eastAsia="Arial" w:hAnsi="Arial" w:cs="Arial"/>
                <w:b/>
                <w:bCs/>
                <w:color w:val="0E173D"/>
                <w:spacing w:val="0"/>
                <w:w w:val="100"/>
                <w:position w:val="0"/>
                <w:sz w:val="78"/>
                <w:szCs w:val="78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21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2" w:lineRule="auto"/>
              <w:ind w:left="320" w:right="0" w:firstLine="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Налоговый вычет 13% (ежегодно)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 xml:space="preserve">Вернуть можно до 52 000 (60 000)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руб./год на уплаченные взносы до 400 000 руб./год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78"/>
                <w:szCs w:val="78"/>
              </w:rPr>
            </w:pPr>
            <w:r>
              <w:rPr>
                <w:rFonts w:ascii="Arial" w:eastAsia="Arial" w:hAnsi="Arial" w:cs="Arial"/>
                <w:b/>
                <w:bCs/>
                <w:color w:val="0E173D"/>
                <w:spacing w:val="0"/>
                <w:w w:val="100"/>
                <w:position w:val="0"/>
                <w:sz w:val="78"/>
                <w:szCs w:val="78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Досрочная выплата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В особых жизненных ситуациях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до 100%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Досрочная выплата с потерей Дохода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320" w:right="0" w:firstLine="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Государственное страхование средств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 xml:space="preserve">2 800 000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руб.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8"/>
                <w:szCs w:val="38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 xml:space="preserve">1 400 000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руб.</w:t>
            </w:r>
          </w:p>
        </w:tc>
      </w:tr>
      <w:tr>
        <w:trPr>
          <w:trHeight w:val="9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Доходность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Инвестиционная доходность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Ставка по депозиту</w:t>
            </w:r>
          </w:p>
        </w:tc>
      </w:tr>
      <w:tr>
        <w:trPr>
          <w:trHeight w:val="18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320" w:right="0" w:firstLine="20"/>
              <w:jc w:val="left"/>
              <w:rPr>
                <w:sz w:val="38"/>
                <w:szCs w:val="3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  <w:lang w:val="ru-RU" w:eastAsia="ru-RU" w:bidi="ru-RU"/>
              </w:rPr>
              <w:t>Возможность смены оператора в период действия договора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78"/>
                <w:szCs w:val="78"/>
              </w:rPr>
            </w:pPr>
            <w:r>
              <w:rPr>
                <w:rFonts w:ascii="Arial" w:eastAsia="Arial" w:hAnsi="Arial" w:cs="Arial"/>
                <w:b/>
                <w:bCs/>
                <w:color w:val="0E173D"/>
                <w:spacing w:val="0"/>
                <w:w w:val="100"/>
                <w:position w:val="0"/>
                <w:sz w:val="78"/>
                <w:szCs w:val="78"/>
                <w:shd w:val="clear" w:color="auto" w:fill="auto"/>
                <w:lang w:val="ru-RU" w:eastAsia="ru-RU" w:bidi="ru-RU"/>
              </w:rPr>
              <w:t>X</w:t>
            </w:r>
          </w:p>
        </w:tc>
      </w:tr>
    </w:tbl>
    <w:p>
      <w:pPr>
        <w:sectPr>
          <w:footerReference w:type="default" r:id="rId77"/>
          <w:footerReference w:type="even" r:id="rId78"/>
          <w:footnotePr>
            <w:pos w:val="pageBottom"/>
            <w:numFmt w:val="decimal"/>
            <w:numRestart w:val="continuous"/>
          </w:footnotePr>
          <w:pgSz w:w="19200" w:h="11076" w:orient="landscape"/>
          <w:pgMar w:top="494" w:right="672" w:bottom="455" w:left="528" w:header="66" w:footer="3" w:gutter="0"/>
          <w:pgNumType w:start="1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framePr w:w="10406" w:h="658" w:wrap="none" w:hAnchor="page" w:x="70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Пример расчета сбережений по ПДС</w:t>
      </w:r>
      <w:bookmarkEnd w:id="20"/>
    </w:p>
    <w:p>
      <w:pPr>
        <w:pStyle w:val="Style20"/>
        <w:keepNext w:val="0"/>
        <w:keepLines w:val="0"/>
        <w:framePr w:w="3542" w:h="840" w:wrap="none" w:hAnchor="page" w:x="6951" w:y="13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Софинансирование</w:t>
      </w:r>
    </w:p>
    <w:p>
      <w:pPr>
        <w:pStyle w:val="Style20"/>
        <w:keepNext w:val="0"/>
        <w:keepLines w:val="0"/>
        <w:framePr w:w="3542" w:h="840" w:wrap="none" w:hAnchor="page" w:x="6951" w:y="1321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  <w:rPr>
          <w:sz w:val="34"/>
          <w:szCs w:val="34"/>
        </w:rPr>
      </w:pPr>
      <w:r>
        <w:rPr>
          <w:b/>
          <w:bCs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>₽ 108 000</w:t>
      </w:r>
    </w:p>
    <w:p>
      <w:pPr>
        <w:pStyle w:val="Style8"/>
        <w:keepNext w:val="0"/>
        <w:keepLines w:val="0"/>
        <w:framePr w:w="3029" w:h="355" w:wrap="none" w:hAnchor="page" w:x="865" w:y="2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Tahoma" w:eastAsia="Tahoma" w:hAnsi="Tahoma" w:cs="Tahoma"/>
          <w:b/>
          <w:bCs/>
          <w:color w:val="0E173D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Параметры клиента</w:t>
      </w:r>
    </w:p>
    <w:p>
      <w:pPr>
        <w:pStyle w:val="Style8"/>
        <w:keepNext w:val="0"/>
        <w:keepLines w:val="0"/>
        <w:framePr w:w="672" w:h="840" w:wrap="none" w:hAnchor="page" w:x="793" w:y="2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68"/>
          <w:szCs w:val="68"/>
        </w:rPr>
      </w:pPr>
      <w:r>
        <w:rPr>
          <w:rFonts w:ascii="Tahoma" w:eastAsia="Tahoma" w:hAnsi="Tahoma" w:cs="Tahoma"/>
          <w:b/>
          <w:bCs/>
          <w:color w:val="0EB5B5"/>
          <w:spacing w:val="0"/>
          <w:w w:val="100"/>
          <w:position w:val="0"/>
          <w:sz w:val="68"/>
          <w:szCs w:val="68"/>
          <w:shd w:val="clear" w:color="auto" w:fill="auto"/>
          <w:lang w:val="en-US" w:eastAsia="en-US" w:bidi="en-US"/>
        </w:rPr>
        <w:t>It</w:t>
      </w:r>
    </w:p>
    <w:p>
      <w:pPr>
        <w:pStyle w:val="Style20"/>
        <w:keepNext w:val="0"/>
        <w:keepLines w:val="0"/>
        <w:framePr w:w="2904" w:h="888" w:wrap="none" w:hAnchor="page" w:x="1710" w:y="2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Мужчина, или женщина 40 лет</w:t>
      </w:r>
    </w:p>
    <w:p>
      <w:pPr>
        <w:pStyle w:val="Style2"/>
        <w:keepNext w:val="0"/>
        <w:keepLines w:val="0"/>
        <w:framePr w:w="3130" w:h="1152" w:wrap="none" w:hAnchor="page" w:x="1729" w:y="6280"/>
        <w:widowControl w:val="0"/>
        <w:shd w:val="clear" w:color="auto" w:fill="auto"/>
        <w:bidi w:val="0"/>
        <w:spacing w:before="0" w:after="0" w:line="319" w:lineRule="auto"/>
        <w:ind w:left="0" w:right="0" w:firstLine="0"/>
        <w:jc w:val="left"/>
        <w:rPr>
          <w:sz w:val="32"/>
          <w:szCs w:val="32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Софинансирование Налоговый вычет</w:t>
      </w:r>
    </w:p>
    <w:p>
      <w:pPr>
        <w:pStyle w:val="Style2"/>
        <w:keepNext w:val="0"/>
        <w:keepLines w:val="0"/>
        <w:framePr w:w="3278" w:h="811" w:wrap="none" w:hAnchor="page" w:x="1758" w:y="3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8"/>
          <w:szCs w:val="38"/>
        </w:rPr>
      </w:pPr>
      <w:r>
        <w:rPr>
          <w:rFonts w:ascii="Arial" w:eastAsia="Arial" w:hAnsi="Arial" w:cs="Arial"/>
          <w:b/>
          <w:bCs/>
          <w:color w:val="0EB5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₽ 3 тыс. / месяц</w:t>
      </w:r>
    </w:p>
    <w:p>
      <w:pPr>
        <w:pStyle w:val="Style2"/>
        <w:keepNext w:val="0"/>
        <w:keepLines w:val="0"/>
        <w:framePr w:w="3278" w:h="811" w:wrap="none" w:hAnchor="page" w:x="1758" w:y="3918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  <w:rPr>
          <w:sz w:val="32"/>
          <w:szCs w:val="32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Размер взносов</w:t>
      </w:r>
    </w:p>
    <w:p>
      <w:pPr>
        <w:pStyle w:val="Style2"/>
        <w:keepNext w:val="0"/>
        <w:keepLines w:val="0"/>
        <w:framePr w:w="3173" w:h="826" w:wrap="none" w:hAnchor="page" w:x="1767" w:y="4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8"/>
          <w:szCs w:val="38"/>
        </w:rPr>
      </w:pPr>
      <w:r>
        <w:rPr>
          <w:rFonts w:ascii="Arial" w:eastAsia="Arial" w:hAnsi="Arial" w:cs="Arial"/>
          <w:b/>
          <w:bCs/>
          <w:color w:val="0EB5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15 лет</w:t>
      </w:r>
    </w:p>
    <w:p>
      <w:pPr>
        <w:pStyle w:val="Style2"/>
        <w:keepNext w:val="0"/>
        <w:keepLines w:val="0"/>
        <w:framePr w:w="3173" w:h="826" w:wrap="none" w:hAnchor="page" w:x="1767" w:y="4998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rPr>
          <w:sz w:val="32"/>
          <w:szCs w:val="32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Период накопления</w:t>
      </w:r>
    </w:p>
    <w:p>
      <w:pPr>
        <w:pStyle w:val="Style2"/>
        <w:keepNext w:val="0"/>
        <w:keepLines w:val="0"/>
        <w:framePr w:w="3749" w:h="840" w:wrap="none" w:hAnchor="page" w:x="9448" w:y="3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8"/>
          <w:szCs w:val="68"/>
        </w:rPr>
      </w:pPr>
      <w:r>
        <w:rPr>
          <w:b/>
          <w:bCs/>
          <w:color w:val="0E173D"/>
          <w:spacing w:val="0"/>
          <w:w w:val="100"/>
          <w:position w:val="0"/>
          <w:sz w:val="68"/>
          <w:szCs w:val="68"/>
          <w:shd w:val="clear" w:color="auto" w:fill="auto"/>
          <w:lang w:val="ru-RU" w:eastAsia="ru-RU" w:bidi="ru-RU"/>
        </w:rPr>
        <w:t>₽1 454 551</w:t>
      </w:r>
    </w:p>
    <w:p>
      <w:pPr>
        <w:pStyle w:val="Style2"/>
        <w:keepNext w:val="0"/>
        <w:keepLines w:val="0"/>
        <w:framePr w:w="1584" w:h="451" w:wrap="none" w:hAnchor="page" w:x="13950" w:y="6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Segoe UI" w:eastAsia="Segoe UI" w:hAnsi="Segoe UI" w:cs="Segoe UI"/>
          <w:color w:val="027D73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Возврат-»</w:t>
      </w:r>
    </w:p>
    <w:p>
      <w:pPr>
        <w:pStyle w:val="Style2"/>
        <w:keepNext w:val="0"/>
        <w:keepLines w:val="0"/>
        <w:framePr w:w="2506" w:h="888" w:wrap="none" w:hAnchor="page" w:x="5891" w:y="5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Инвест, доход</w:t>
      </w:r>
    </w:p>
    <w:p>
      <w:pPr>
        <w:pStyle w:val="Style2"/>
        <w:keepNext w:val="0"/>
        <w:keepLines w:val="0"/>
        <w:framePr w:w="2506" w:h="888" w:wrap="none" w:hAnchor="page" w:x="5891" w:y="5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r>
        <w:rPr>
          <w:b/>
          <w:bCs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>₽ 736 351</w:t>
      </w:r>
    </w:p>
    <w:p>
      <w:pPr>
        <w:pStyle w:val="Style2"/>
        <w:keepNext w:val="0"/>
        <w:keepLines w:val="0"/>
        <w:framePr w:w="2064" w:h="384" w:wrap="none" w:hAnchor="page" w:x="10278" w:y="5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2"/>
          <w:szCs w:val="32"/>
        </w:rPr>
      </w:pPr>
      <w:r>
        <w:rPr>
          <w:rFonts w:ascii="Verdana" w:eastAsia="Verdana" w:hAnsi="Verdana" w:cs="Verdana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накоплении</w:t>
      </w:r>
    </w:p>
    <w:p>
      <w:pPr>
        <w:pStyle w:val="Style2"/>
        <w:keepNext w:val="0"/>
        <w:keepLines w:val="0"/>
        <w:framePr w:w="1589" w:h="408" w:wrap="none" w:hAnchor="page" w:x="10518" w:y="5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ascii="Verdana" w:eastAsia="Verdana" w:hAnsi="Verdana" w:cs="Verdana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за 15 лет</w:t>
      </w:r>
    </w:p>
    <w:p>
      <w:pPr>
        <w:pStyle w:val="Style8"/>
        <w:keepNext w:val="0"/>
        <w:keepLines w:val="0"/>
        <w:framePr w:w="2400" w:h="427" w:wrap="none" w:hAnchor="page" w:x="10115" w:y="4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Verdana" w:eastAsia="Verdana" w:hAnsi="Verdana" w:cs="Verdana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Общая сумма</w:t>
      </w:r>
    </w:p>
    <w:p>
      <w:pPr>
        <w:pStyle w:val="Style20"/>
        <w:keepNext w:val="0"/>
        <w:keepLines w:val="0"/>
        <w:framePr w:w="2822" w:h="802" w:wrap="none" w:hAnchor="page" w:x="13729" w:y="1259"/>
        <w:widowControl w:val="0"/>
        <w:shd w:val="clear" w:color="auto" w:fill="auto"/>
        <w:tabs>
          <w:tab w:leader="underscore" w:pos="2774" w:val="left"/>
        </w:tabs>
        <w:bidi w:val="0"/>
        <w:spacing w:before="0" w:after="0" w:line="221" w:lineRule="auto"/>
        <w:ind w:left="0" w:right="0" w:firstLine="0"/>
        <w:jc w:val="center"/>
        <w:rPr>
          <w:sz w:val="34"/>
          <w:szCs w:val="34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Личные взносы</w:t>
        <w:br/>
      </w:r>
      <w:r>
        <w:rPr>
          <w:b/>
          <w:bCs/>
          <w:color w:val="000000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 xml:space="preserve">₽ 540 000 </w:t>
      </w:r>
      <w:r>
        <w:rPr>
          <w:b/>
          <w:bCs/>
          <w:color w:val="0E173D"/>
          <w:spacing w:val="0"/>
          <w:w w:val="100"/>
          <w:position w:val="0"/>
          <w:sz w:val="34"/>
          <w:szCs w:val="34"/>
          <w:shd w:val="clear" w:color="auto" w:fill="auto"/>
          <w:lang w:val="ru-RU" w:eastAsia="ru-RU" w:bidi="ru-RU"/>
        </w:rPr>
        <w:tab/>
      </w:r>
    </w:p>
    <w:p>
      <w:pPr>
        <w:pStyle w:val="Style8"/>
        <w:keepNext w:val="0"/>
        <w:keepLines w:val="0"/>
        <w:framePr w:w="542" w:h="336" w:wrap="none" w:hAnchor="page" w:x="15899" w:y="24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Arial" w:eastAsia="Arial" w:hAnsi="Arial" w:cs="Arial"/>
          <w:color w:val="0E173D"/>
          <w:spacing w:val="0"/>
          <w:w w:val="100"/>
          <w:position w:val="0"/>
          <w:sz w:val="32"/>
          <w:szCs w:val="32"/>
          <w:shd w:val="clear" w:color="auto" w:fill="auto"/>
          <w:lang w:val="en-US" w:eastAsia="en-US" w:bidi="en-US"/>
        </w:rPr>
        <w:t>□0U</w:t>
      </w:r>
    </w:p>
    <w:p>
      <w:pPr>
        <w:pStyle w:val="Style12"/>
        <w:keepNext w:val="0"/>
        <w:keepLines w:val="0"/>
        <w:framePr w:w="2160" w:h="946" w:wrap="none" w:hAnchor="page" w:x="15908" w:y="3702"/>
        <w:widowControl w:val="0"/>
        <w:shd w:val="clear" w:color="auto" w:fill="auto"/>
        <w:bidi w:val="0"/>
        <w:spacing w:before="0" w:after="0" w:line="17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Расчетная ставка инвестдохода</w:t>
      </w:r>
    </w:p>
    <w:p>
      <w:pPr>
        <w:pStyle w:val="Style20"/>
        <w:keepNext w:val="0"/>
        <w:keepLines w:val="0"/>
        <w:framePr w:w="2126" w:h="1752" w:wrap="none" w:hAnchor="page" w:x="15807" w:y="629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38"/>
          <w:szCs w:val="38"/>
        </w:rPr>
      </w:pPr>
      <w:r>
        <w:rPr>
          <w:b/>
          <w:bCs/>
          <w:color w:val="027D73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₽70,2 тыс.</w:t>
      </w:r>
    </w:p>
    <w:p>
      <w:pPr>
        <w:pStyle w:val="Style12"/>
        <w:keepNext w:val="0"/>
        <w:keepLines w:val="0"/>
        <w:framePr w:w="2126" w:h="1752" w:wrap="none" w:hAnchor="page" w:x="15807" w:y="6299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170" w:lineRule="auto"/>
        <w:ind w:left="0" w:right="0" w:firstLine="0"/>
        <w:jc w:val="left"/>
      </w:pPr>
      <w:r>
        <w:rPr>
          <w:color w:val="027D73"/>
          <w:spacing w:val="0"/>
          <w:w w:val="100"/>
          <w:position w:val="0"/>
          <w:shd w:val="clear" w:color="auto" w:fill="auto"/>
          <w:lang w:val="ru-RU" w:eastAsia="ru-RU" w:bidi="ru-RU"/>
        </w:rPr>
        <w:t>Налоговый вычет на внесенные взносы</w:t>
      </w:r>
    </w:p>
    <w:p>
      <w:pPr>
        <w:pStyle w:val="Style20"/>
        <w:keepNext w:val="0"/>
        <w:keepLines w:val="0"/>
        <w:framePr w:w="13618" w:h="475" w:wrap="none" w:hAnchor="page" w:x="4897" w:y="8583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27D73"/>
          <w:spacing w:val="0"/>
          <w:w w:val="100"/>
          <w:position w:val="0"/>
          <w:shd w:val="clear" w:color="auto" w:fill="auto"/>
          <w:lang w:val="ru-RU" w:eastAsia="ru-RU" w:bidi="ru-RU"/>
        </w:rPr>
        <w:t>Пожизненные выплаты 6 тыс. руб. - в два раза больше ежемесячного взноса</w:t>
      </w:r>
    </w:p>
    <w:p>
      <w:pPr>
        <w:widowControl w:val="0"/>
        <w:spacing w:line="360" w:lineRule="exact"/>
      </w:pPr>
      <w:r>
        <w:drawing>
          <wp:anchor distT="79375" distB="0" distL="0" distR="0" simplePos="0" relativeHeight="62914724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2566670</wp:posOffset>
            </wp:positionV>
            <wp:extent cx="3620770" cy="4029710"/>
            <wp:wrapNone/>
            <wp:docPr id="98" name="Shape 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3620770" cy="40297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615440" distR="841375" simplePos="0" relativeHeight="62914725" behindDoc="1" locked="0" layoutInCell="1" allowOverlap="1">
            <wp:simplePos x="0" y="0"/>
            <wp:positionH relativeFrom="page">
              <wp:posOffset>5355590</wp:posOffset>
            </wp:positionH>
            <wp:positionV relativeFrom="margin">
              <wp:posOffset>1222375</wp:posOffset>
            </wp:positionV>
            <wp:extent cx="3669665" cy="4175760"/>
            <wp:wrapNone/>
            <wp:docPr id="100" name="Shap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3669665" cy="417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6" w:line="1" w:lineRule="exact"/>
      </w:pPr>
    </w:p>
    <w:p>
      <w:pPr>
        <w:widowControl w:val="0"/>
        <w:spacing w:line="1" w:lineRule="exact"/>
        <w:sectPr>
          <w:footerReference w:type="default" r:id="rId83"/>
          <w:footerReference w:type="even" r:id="rId84"/>
          <w:footnotePr>
            <w:pos w:val="pageBottom"/>
            <w:numFmt w:val="decimal"/>
            <w:numRestart w:val="continuous"/>
          </w:footnotePr>
          <w:pgSz w:w="19200" w:h="11076" w:orient="landscape"/>
          <w:pgMar w:top="556" w:right="542" w:bottom="624" w:left="0" w:header="128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framePr w:w="10406" w:h="658" w:wrap="none" w:hAnchor="page" w:x="70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2" w:name="bookmark2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Пример расчета сбережений по ПДС</w:t>
      </w:r>
      <w:bookmarkEnd w:id="22"/>
    </w:p>
    <w:p>
      <w:pPr>
        <w:pStyle w:val="Style12"/>
        <w:keepNext w:val="0"/>
        <w:keepLines w:val="0"/>
        <w:framePr w:w="1786" w:h="1022" w:wrap="none" w:hAnchor="page" w:x="764" w:y="2598"/>
        <w:widowControl w:val="0"/>
        <w:shd w:val="clear" w:color="auto" w:fill="auto"/>
        <w:bidi w:val="0"/>
        <w:spacing w:before="0" w:after="0" w:line="182" w:lineRule="auto"/>
        <w:ind w:left="0" w:right="0" w:firstLine="0"/>
        <w:jc w:val="center"/>
      </w:pP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>Зарплата</w:t>
        <w:br/>
        <w:t>участника,</w:t>
        <w:br/>
        <w:t>руб./мес.</w:t>
      </w:r>
    </w:p>
    <w:p>
      <w:pPr>
        <w:pStyle w:val="Style12"/>
        <w:keepNext w:val="0"/>
        <w:keepLines w:val="0"/>
        <w:framePr w:w="1781" w:h="1018" w:wrap="none" w:hAnchor="page" w:x="3644" w:y="2603"/>
        <w:widowControl w:val="0"/>
        <w:shd w:val="clear" w:color="auto" w:fill="auto"/>
        <w:bidi w:val="0"/>
        <w:spacing w:before="0" w:after="0" w:line="182" w:lineRule="auto"/>
        <w:ind w:left="0" w:right="0" w:firstLine="0"/>
        <w:jc w:val="center"/>
      </w:pP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>Взносы</w:t>
        <w:br/>
        <w:t>участника,</w:t>
        <w:br/>
        <w:t>руб ./год</w:t>
      </w:r>
    </w:p>
    <w:p>
      <w:pPr>
        <w:pStyle w:val="Style12"/>
        <w:keepNext w:val="0"/>
        <w:keepLines w:val="0"/>
        <w:framePr w:w="8880" w:h="773" w:wrap="none" w:hAnchor="page" w:x="5905" w:y="2526"/>
        <w:widowControl w:val="0"/>
        <w:shd w:val="clear" w:color="auto" w:fill="auto"/>
        <w:tabs>
          <w:tab w:pos="595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>Софинансирование Налоговый</w:t>
        <w:tab/>
        <w:t>Инвестиционный</w:t>
      </w:r>
    </w:p>
    <w:p>
      <w:pPr>
        <w:pStyle w:val="Style12"/>
        <w:keepNext w:val="0"/>
        <w:keepLines w:val="0"/>
        <w:framePr w:w="8880" w:h="773" w:wrap="none" w:hAnchor="page" w:x="5905" w:y="2526"/>
        <w:widowControl w:val="0"/>
        <w:shd w:val="clear" w:color="auto" w:fill="auto"/>
        <w:tabs>
          <w:tab w:pos="3606" w:val="left"/>
          <w:tab w:pos="6860" w:val="left"/>
        </w:tabs>
        <w:bidi w:val="0"/>
        <w:spacing w:before="0" w:after="0" w:line="180" w:lineRule="auto"/>
        <w:ind w:left="0" w:right="0" w:firstLine="620"/>
        <w:jc w:val="left"/>
      </w:pP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>государства</w:t>
        <w:tab/>
        <w:t>вычет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2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ab/>
        <w:t>доход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3</w:t>
      </w:r>
    </w:p>
    <w:p>
      <w:pPr>
        <w:pStyle w:val="Style12"/>
        <w:keepNext w:val="0"/>
        <w:keepLines w:val="0"/>
        <w:framePr w:w="2314" w:h="1003" w:wrap="none" w:hAnchor="page" w:x="15217" w:y="2603"/>
        <w:widowControl w:val="0"/>
        <w:shd w:val="clear" w:color="auto" w:fill="auto"/>
        <w:bidi w:val="0"/>
        <w:spacing w:before="0" w:after="0" w:line="182" w:lineRule="auto"/>
        <w:ind w:left="0" w:right="0" w:firstLine="0"/>
        <w:jc w:val="center"/>
      </w:pP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>Доходность</w:t>
        <w:br/>
        <w:t>по программе</w:t>
        <w:br/>
        <w:t>за год</w:t>
      </w:r>
    </w:p>
    <w:p>
      <w:pPr>
        <w:pStyle w:val="Style12"/>
        <w:keepNext w:val="0"/>
        <w:keepLines w:val="0"/>
        <w:framePr w:w="384" w:h="418" w:wrap="none" w:hAnchor="page" w:x="879" w:y="4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0E173D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до</w:t>
      </w:r>
    </w:p>
    <w:p>
      <w:pPr>
        <w:pStyle w:val="Style8"/>
        <w:keepNext w:val="0"/>
        <w:keepLines w:val="0"/>
        <w:framePr w:w="682" w:h="317" w:wrap="none" w:hAnchor="page" w:x="2324" w:y="40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Arial" w:eastAsia="Arial" w:hAnsi="Arial" w:cs="Arial"/>
          <w:color w:val="0E173D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ТЫС.</w:t>
      </w:r>
    </w:p>
    <w:p>
      <w:pPr>
        <w:pStyle w:val="Style8"/>
        <w:keepNext w:val="0"/>
        <w:keepLines w:val="0"/>
        <w:framePr w:w="1373" w:h="581" w:wrap="none" w:hAnchor="page" w:x="6889" w:y="3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8"/>
          <w:szCs w:val="48"/>
        </w:rPr>
      </w:pPr>
      <w:r>
        <w:rPr>
          <w:rFonts w:ascii="Courier New" w:eastAsia="Courier New" w:hAnsi="Courier New" w:cs="Courier New"/>
          <w:color w:val="0E173D"/>
          <w:spacing w:val="0"/>
          <w:w w:val="100"/>
          <w:position w:val="0"/>
          <w:sz w:val="48"/>
          <w:szCs w:val="48"/>
          <w:shd w:val="clear" w:color="auto" w:fill="auto"/>
          <w:lang w:val="ru-RU" w:eastAsia="ru-RU" w:bidi="ru-RU"/>
        </w:rPr>
        <w:t>100%</w:t>
      </w:r>
    </w:p>
    <w:p>
      <w:pPr>
        <w:pStyle w:val="Style8"/>
        <w:keepNext w:val="0"/>
        <w:keepLines w:val="0"/>
        <w:framePr w:w="1392" w:h="936" w:wrap="none" w:hAnchor="page" w:x="15620" w:y="4095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  <w:rPr>
          <w:sz w:val="76"/>
          <w:szCs w:val="76"/>
        </w:rPr>
      </w:pPr>
      <w:r>
        <w:rPr>
          <w:rFonts w:ascii="Tahoma" w:eastAsia="Tahoma" w:hAnsi="Tahoma" w:cs="Tahoma"/>
          <w:b/>
          <w:bCs/>
          <w:color w:val="027D73"/>
          <w:spacing w:val="0"/>
          <w:w w:val="100"/>
          <w:position w:val="0"/>
          <w:sz w:val="76"/>
          <w:szCs w:val="76"/>
          <w:shd w:val="clear" w:color="auto" w:fill="auto"/>
          <w:lang w:val="ru-RU" w:eastAsia="ru-RU" w:bidi="ru-RU"/>
        </w:rPr>
        <w:t>121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30" behindDoc="1" locked="0" layoutInCell="1" allowOverlap="1">
            <wp:simplePos x="0" y="0"/>
            <wp:positionH relativeFrom="page">
              <wp:posOffset>780415</wp:posOffset>
            </wp:positionH>
            <wp:positionV relativeFrom="margin">
              <wp:posOffset>838200</wp:posOffset>
            </wp:positionV>
            <wp:extent cx="628015" cy="628015"/>
            <wp:wrapNone/>
            <wp:docPr id="106" name="Shap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628015" cy="6280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page">
              <wp:posOffset>2572385</wp:posOffset>
            </wp:positionH>
            <wp:positionV relativeFrom="margin">
              <wp:posOffset>899160</wp:posOffset>
            </wp:positionV>
            <wp:extent cx="713105" cy="560705"/>
            <wp:wrapNone/>
            <wp:docPr id="108" name="Shap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713105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page">
              <wp:posOffset>4511040</wp:posOffset>
            </wp:positionH>
            <wp:positionV relativeFrom="margin">
              <wp:posOffset>862330</wp:posOffset>
            </wp:positionV>
            <wp:extent cx="603250" cy="603250"/>
            <wp:wrapNone/>
            <wp:docPr id="110" name="Shape 1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603250" cy="6032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page">
              <wp:posOffset>6285230</wp:posOffset>
            </wp:positionH>
            <wp:positionV relativeFrom="margin">
              <wp:posOffset>789305</wp:posOffset>
            </wp:positionV>
            <wp:extent cx="554990" cy="676910"/>
            <wp:wrapNone/>
            <wp:docPr id="112" name="Shape 1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box 113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554990" cy="676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page">
              <wp:posOffset>8165465</wp:posOffset>
            </wp:positionH>
            <wp:positionV relativeFrom="margin">
              <wp:posOffset>819785</wp:posOffset>
            </wp:positionV>
            <wp:extent cx="694690" cy="646430"/>
            <wp:wrapNone/>
            <wp:docPr id="114" name="Shape 1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box 115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694690" cy="646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page">
              <wp:posOffset>10107295</wp:posOffset>
            </wp:positionH>
            <wp:positionV relativeFrom="margin">
              <wp:posOffset>847090</wp:posOffset>
            </wp:positionV>
            <wp:extent cx="658495" cy="615950"/>
            <wp:wrapNone/>
            <wp:docPr id="116" name="Shape 1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box 117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658495" cy="6159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page">
              <wp:posOffset>311150</wp:posOffset>
            </wp:positionH>
            <wp:positionV relativeFrom="margin">
              <wp:posOffset>3852545</wp:posOffset>
            </wp:positionV>
            <wp:extent cx="11880850" cy="2359025"/>
            <wp:wrapNone/>
            <wp:docPr id="118" name="Shape 1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box 119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11880850" cy="23590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200" w:h="11076" w:orient="landscape"/>
          <w:pgMar w:top="556" w:right="0" w:bottom="634" w:left="490" w:header="128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2900" w:after="0" w:line="240" w:lineRule="auto"/>
        <w:ind w:left="0" w:right="0" w:firstLine="0"/>
        <w:jc w:val="right"/>
        <w:rPr>
          <w:sz w:val="76"/>
          <w:szCs w:val="76"/>
        </w:rPr>
        <w:sectPr>
          <w:footerReference w:type="default" r:id="rId99"/>
          <w:footerReference w:type="even" r:id="rId100"/>
          <w:footnotePr>
            <w:pos w:val="pageBottom"/>
            <w:numFmt w:val="decimal"/>
            <w:numRestart w:val="continuous"/>
          </w:footnotePr>
          <w:pgSz w:w="19200" w:h="11076" w:orient="landscape"/>
          <w:pgMar w:top="2082" w:right="3696" w:bottom="1712" w:left="696" w:header="1654" w:footer="1284" w:gutter="0"/>
          <w:pgNumType w:start="14"/>
          <w:cols w:space="720"/>
          <w:noEndnote/>
          <w:rtlGutter w:val="0"/>
          <w:docGrid w:linePitch="360"/>
        </w:sectPr>
      </w:pPr>
      <w:r>
        <w:rPr>
          <w:rFonts w:ascii="Tahoma" w:eastAsia="Tahoma" w:hAnsi="Tahoma" w:cs="Tahoma"/>
          <w:b/>
          <w:bCs/>
          <w:color w:val="0EB5B5"/>
          <w:spacing w:val="0"/>
          <w:w w:val="100"/>
          <w:position w:val="0"/>
          <w:sz w:val="76"/>
          <w:szCs w:val="76"/>
          <w:shd w:val="clear" w:color="auto" w:fill="auto"/>
          <w:lang w:val="ru-RU" w:eastAsia="ru-RU" w:bidi="ru-RU"/>
        </w:rPr>
        <w:t>ЧТО НЕОБХОДИМО СДЕЛАТЬ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06" w:lineRule="auto"/>
        <w:ind w:left="0" w:right="0" w:firstLine="40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 xml:space="preserve">Главная задача - создать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эффективную систему информирования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960"/>
        <w:ind w:left="4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 Программе сотрудников Министерства, подведомственных организаций, компаний с госучастием (в соответствии с Распоряжением Правительства РФ от 23.01.2023 №91 -р, список в Приложении), наладить </w:t>
      </w:r>
      <w:r>
        <w:rPr>
          <w:rFonts w:ascii="Arial" w:eastAsia="Arial" w:hAnsi="Arial" w:cs="Arial"/>
          <w:color w:val="0EB5B5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 xml:space="preserve">регулярную отчетность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проводимых мероприятиях по информированию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101"/>
          <w:footerReference w:type="default" r:id="rId102"/>
          <w:headerReference w:type="even" r:id="rId103"/>
          <w:footerReference w:type="even" r:id="rId104"/>
          <w:footnotePr>
            <w:pos w:val="pageBottom"/>
            <w:numFmt w:val="decimal"/>
            <w:numRestart w:val="continuous"/>
          </w:footnotePr>
          <w:pgSz w:w="19200" w:h="11076" w:orient="landscape"/>
          <w:pgMar w:top="2082" w:right="3696" w:bottom="1712" w:left="696" w:header="0" w:footer="3" w:gutter="0"/>
          <w:pgNumType w:start="12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98" behindDoc="0" locked="0" layoutInCell="1" allowOverlap="1">
            <wp:simplePos x="0" y="0"/>
            <wp:positionH relativeFrom="page">
              <wp:posOffset>9845040</wp:posOffset>
            </wp:positionH>
            <wp:positionV relativeFrom="margin">
              <wp:posOffset>-1234440</wp:posOffset>
            </wp:positionV>
            <wp:extent cx="2346960" cy="2968625"/>
            <wp:wrapSquare wrapText="bothSides"/>
            <wp:docPr id="128" name="Shape 1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box 129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2346960" cy="29686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>Система информирования должна включать</w:t>
      </w:r>
    </w:p>
    <w:p>
      <w:pPr>
        <w:widowControl w:val="0"/>
        <w:spacing w:before="62" w:after="6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1477" w:right="0" w:bottom="147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9" w:val="left"/>
        </w:tabs>
        <w:bidi w:val="0"/>
        <w:spacing w:before="0" w:after="180" w:line="202" w:lineRule="auto"/>
        <w:ind w:left="360" w:right="0" w:hanging="360"/>
        <w:jc w:val="left"/>
      </w:pP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Инструктаж руководителей кадровых подразделений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Министерства, подведов, госкомпаний, их мотивирование на построение эффективной системы информирования сотрудников и системы отчетности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9" w:val="left"/>
        </w:tabs>
        <w:bidi w:val="0"/>
        <w:spacing w:before="0" w:after="0" w:line="204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Обязательное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очное общение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представителей кадровых служб с сотрудниками - как специально для информирования о Программе, так и в ходе регулярных оценок эффективности персонала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6" w:val="left"/>
        </w:tabs>
        <w:bidi w:val="0"/>
        <w:spacing w:before="0" w:after="140" w:line="204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Разработку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графика очных встреч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сотрудниками с целью выхода на следующие количественные показатели информированности о Программе: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929" w:val="left"/>
        </w:tabs>
        <w:bidi w:val="0"/>
        <w:spacing w:before="0" w:after="140" w:line="240" w:lineRule="auto"/>
        <w:ind w:left="0" w:right="0" w:firstLine="700"/>
        <w:jc w:val="left"/>
        <w:rPr>
          <w:sz w:val="24"/>
          <w:szCs w:val="24"/>
        </w:rPr>
      </w:pPr>
      <w:r>
        <w:rPr>
          <w:rFonts w:ascii="Arial" w:eastAsia="Arial" w:hAnsi="Arial" w:cs="Arial"/>
          <w:color w:val="027D73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1&gt;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01.04 - 10% сотрудников</w:t>
        <w:tab/>
        <w:t>к 01.07 - 80% сотрудников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08" w:val="left"/>
          <w:tab w:pos="4929" w:val="left"/>
        </w:tabs>
        <w:bidi w:val="0"/>
        <w:spacing w:before="0" w:after="140" w:line="240" w:lineRule="auto"/>
        <w:ind w:left="0" w:right="0" w:firstLine="700"/>
        <w:jc w:val="left"/>
        <w:rPr>
          <w:sz w:val="24"/>
          <w:szCs w:val="24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01.05 - 30% сотрудников</w:t>
        <w:tab/>
        <w:t>к 01.08 - 100% сотрудников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08" w:val="left"/>
        </w:tabs>
        <w:bidi w:val="0"/>
        <w:spacing w:before="0" w:after="140" w:line="240" w:lineRule="auto"/>
        <w:ind w:left="0" w:right="0" w:firstLine="700"/>
        <w:jc w:val="left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1477" w:right="802" w:bottom="1477" w:left="696" w:header="0" w:footer="3" w:gutter="0"/>
          <w:cols w:num="2" w:space="979"/>
          <w:noEndnote/>
          <w:rtlGutter w:val="0"/>
          <w:docGrid w:linePitch="360"/>
        </w:sect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01.06 - 50% сотрудников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>Система информирования должна включать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20980" distB="69850" distL="0" distR="0" simplePos="0" relativeHeight="125829399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220980</wp:posOffset>
                </wp:positionV>
                <wp:extent cx="4611370" cy="1752600"/>
                <wp:wrapTopAndBottom/>
                <wp:docPr id="130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11370" cy="1752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0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Изучение представителями кадровой службы </w:t>
                            </w:r>
                            <w:r>
                              <w:rPr>
                                <w:b/>
                                <w:bCs/>
                                <w:color w:val="0EB5B5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информации о ПДС,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 том числе ответов на сложные вопросы - для очного общения с сотрудниками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Распространение информации о Программе по различным </w:t>
                            </w:r>
                            <w:r>
                              <w:rPr>
                                <w:b/>
                                <w:bCs/>
                                <w:color w:val="0EB5B5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каналам коммуникации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(см. слайд «Каналы информирования» ниже)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6" type="#_x0000_t202" style="position:absolute;margin-left:55.200000000000003pt;margin-top:17.400000000000002pt;width:363.10000000000002pt;height:138.pt;z-index:-125829354;mso-wrap-distance-left:0;mso-wrap-distance-top:17.400000000000002pt;mso-wrap-distance-right:0;mso-wrap-distance-bottom:5.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0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Изучение представителями кадровой службы </w:t>
                      </w:r>
                      <w:r>
                        <w:rPr>
                          <w:b/>
                          <w:bCs/>
                          <w:color w:val="0EB5B5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информации о ПДС,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 том числе ответов на сложные вопросы - для очного общения с сотрудниками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Распространение информации о Программе по различным </w:t>
                      </w:r>
                      <w:r>
                        <w:rPr>
                          <w:b/>
                          <w:bCs/>
                          <w:color w:val="0EB5B5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каналам коммуникации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(см. слайд «Каналы информирования» ниже)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0" distR="0" simplePos="0" relativeHeight="125829401" behindDoc="0" locked="0" layoutInCell="1" allowOverlap="1">
                <wp:simplePos x="0" y="0"/>
                <wp:positionH relativeFrom="page">
                  <wp:posOffset>6681470</wp:posOffset>
                </wp:positionH>
                <wp:positionV relativeFrom="paragraph">
                  <wp:posOffset>190500</wp:posOffset>
                </wp:positionV>
                <wp:extent cx="4971415" cy="1852930"/>
                <wp:wrapTopAndBottom/>
                <wp:docPr id="132" name="Shape 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71415" cy="1852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460" w:right="0" w:hanging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■ Получение информации о сотрудниках, являющихся клиентами негосударственных пенсионных фондов </w:t>
                            </w:r>
                            <w:r>
                              <w:rPr>
                                <w:b/>
                                <w:bCs/>
                                <w:color w:val="0EB5B5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по программе обязательного пенсионного страхования,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т.е. имеющих накопительную пенсию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46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(если компания работает с определенным НПФ, эту информацию следует запросить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 НПФ централизованно)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8" type="#_x0000_t202" style="position:absolute;margin-left:526.10000000000002pt;margin-top:15.pt;width:391.44999999999999pt;height:145.90000000000001pt;z-index:-125829352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460" w:right="0" w:hanging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■ Получение информации о сотрудниках, являющихся клиентами негосударственных пенсионных фондов </w:t>
                      </w:r>
                      <w:r>
                        <w:rPr>
                          <w:b/>
                          <w:bCs/>
                          <w:color w:val="0EB5B5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по программе обязательного пенсионного страхования,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т.е. имеющих накопительную пенсию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46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(если компания работает с определенным НПФ, эту информацию следует запросить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46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 НПФ централизованно)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04" w:lineRule="auto"/>
        <w:ind w:left="10280" w:right="0" w:firstLine="20"/>
        <w:jc w:val="left"/>
        <w:sectPr>
          <w:headerReference w:type="default" r:id="rId107"/>
          <w:footerReference w:type="default" r:id="rId108"/>
          <w:headerReference w:type="even" r:id="rId109"/>
          <w:footerReference w:type="even" r:id="rId110"/>
          <w:footnotePr>
            <w:pos w:val="pageBottom"/>
            <w:numFmt w:val="decimal"/>
            <w:numRestart w:val="continuous"/>
          </w:footnotePr>
          <w:pgSz w:w="19200" w:h="11076" w:orient="landscape"/>
          <w:pgMar w:top="2610" w:right="850" w:bottom="3018" w:left="7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основе полученных данных о таких сотрудниках провести сними работу по информированию о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возможности перевода накопительной пенсии в ПДС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>Система информирования должна включать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20"/>
        <w:jc w:val="left"/>
      </w:pP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■ Ежемесячную отчетность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следующим параметрам (в соответствии с таблицей в Приложении):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4" w:val="left"/>
        </w:tabs>
        <w:bidi w:val="0"/>
        <w:spacing w:before="0" w:after="80" w:line="182" w:lineRule="auto"/>
        <w:ind w:left="1460" w:right="0" w:hanging="38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Количество и долю в процентах охваченных информационной работой сотрудников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4" w:val="left"/>
        </w:tabs>
        <w:bidi w:val="0"/>
        <w:spacing w:before="0" w:after="80" w:line="182" w:lineRule="auto"/>
        <w:ind w:left="1460" w:right="0" w:hanging="38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Количество и долю в процентах сотрудников, принявших решение о переходе из ОПС в ПДС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4" w:val="left"/>
        </w:tabs>
        <w:bidi w:val="0"/>
        <w:spacing w:before="0" w:after="80" w:line="182" w:lineRule="auto"/>
        <w:ind w:left="1460" w:right="0" w:hanging="38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Количество и долю в процентах сотрудников, принявших решение о вступлении в ПДС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4" w:val="left"/>
        </w:tabs>
        <w:bidi w:val="0"/>
        <w:spacing w:before="0" w:after="80" w:line="182" w:lineRule="auto"/>
        <w:ind w:left="1460" w:right="0" w:hanging="38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Виды каналов информирования, задействованных в коммуникации с сотрудниками (публикации в корпоративных медиа, раздача лифлетов, демонстрация роликов, установка заставок на компьютеры и др. - см. слайд «Каналы информирования»)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64" w:val="left"/>
        </w:tabs>
        <w:bidi w:val="0"/>
        <w:spacing w:before="0" w:after="80" w:line="182" w:lineRule="auto"/>
        <w:ind w:left="1460" w:right="0" w:hanging="380"/>
        <w:jc w:val="left"/>
        <w:rPr>
          <w:sz w:val="30"/>
          <w:szCs w:val="30"/>
        </w:rPr>
        <w:sectPr>
          <w:headerReference w:type="default" r:id="rId111"/>
          <w:footerReference w:type="default" r:id="rId112"/>
          <w:headerReference w:type="even" r:id="rId113"/>
          <w:footerReference w:type="even" r:id="rId114"/>
          <w:footnotePr>
            <w:pos w:val="pageBottom"/>
            <w:numFmt w:val="decimal"/>
            <w:numRestart w:val="continuous"/>
          </w:footnotePr>
          <w:pgSz w:w="19200" w:h="11076" w:orient="landscape"/>
          <w:pgMar w:top="2610" w:right="850" w:bottom="3018" w:left="701" w:header="0" w:footer="2590" w:gutter="0"/>
          <w:pgNumType w:start="17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Количественные показатели использования каналов информирования (число публикаций, рассылок, показов роликов, компьютеров с установленными заставками, распространенных лифлетов и проч.)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403" behindDoc="0" locked="0" layoutInCell="1" allowOverlap="1">
            <wp:simplePos x="0" y="0"/>
            <wp:positionH relativeFrom="page">
              <wp:posOffset>10079990</wp:posOffset>
            </wp:positionH>
            <wp:positionV relativeFrom="paragraph">
              <wp:posOffset>12700</wp:posOffset>
            </wp:positionV>
            <wp:extent cx="2115185" cy="2974975"/>
            <wp:wrapTight wrapText="bothSides">
              <wp:wrapPolygon>
                <wp:start x="4987" y="0"/>
                <wp:lineTo x="21600" y="0"/>
                <wp:lineTo x="21600" y="21600"/>
                <wp:lineTo x="4987" y="21600"/>
                <wp:lineTo x="4987" y="16261"/>
                <wp:lineTo x="0" y="16261"/>
                <wp:lineTo x="0" y="11498"/>
                <wp:lineTo x="4987" y="11498"/>
                <wp:lineTo x="4987" y="0"/>
              </wp:wrapPolygon>
            </wp:wrapTight>
            <wp:docPr id="146" name="Shap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box 147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2115185" cy="2974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221865" distL="114300" distR="114300" simplePos="0" relativeHeight="125829404" behindDoc="0" locked="0" layoutInCell="1" allowOverlap="1">
            <wp:simplePos x="0" y="0"/>
            <wp:positionH relativeFrom="page">
              <wp:posOffset>509270</wp:posOffset>
            </wp:positionH>
            <wp:positionV relativeFrom="paragraph">
              <wp:posOffset>2670175</wp:posOffset>
            </wp:positionV>
            <wp:extent cx="560705" cy="506095"/>
            <wp:wrapSquare wrapText="right"/>
            <wp:docPr id="148" name="Shape 1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box 149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560705" cy="5060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3606165</wp:posOffset>
                </wp:positionV>
                <wp:extent cx="109855" cy="158750"/>
                <wp:wrapNone/>
                <wp:docPr id="150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85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EB5B5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&amp;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6" type="#_x0000_t202" style="position:absolute;margin-left:57.850000000000001pt;margin-top:283.94999999999999pt;width:8.6500000000000004pt;height:12.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EB5B5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&amp;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380615" distB="0" distL="193675" distR="174625" simplePos="0" relativeHeight="125829405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5050790</wp:posOffset>
                </wp:positionV>
                <wp:extent cx="417830" cy="344170"/>
                <wp:wrapSquare wrapText="right"/>
                <wp:docPr id="152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344170"/>
                        </a:xfrm>
                        <a:prstGeom prst="rect"/>
                        <a:solidFill>
                          <a:srgbClr val="F9FDFD"/>
                        </a:solidFill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EB5B5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^|&lt;/&gt;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8" type="#_x0000_t202" style="position:absolute;margin-left:46.350000000000001pt;margin-top:397.69999999999999pt;width:32.899999999999999pt;height:27.100000000000001pt;z-index:-125829348;mso-wrap-distance-left:15.25pt;mso-wrap-distance-top:187.45000000000002pt;mso-wrap-distance-right:13.75pt;mso-position-horizontal-relative:page" fillcolor="#F9FDFD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color w:val="0EB5B5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^|&lt;/&gt;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4" w:name="bookmark2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Каналы информирования</w:t>
      </w:r>
      <w:bookmarkEnd w:id="2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20" w:line="1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Перечень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наиболее эффективных каналов информирования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сотрудников Министерства, подведомственных организаций, компаний с госучастием рекомендуется выработать совместно с представителями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>Национальной ассоциации негосударственных пенсионных фондов (НАГ1Ф)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>Возможные каналы информирования сотрудников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00" w:line="19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Использование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внутрикорпоративных информационных ресурсов </w:t>
      </w:r>
      <w:r>
        <w:rPr>
          <w:b/>
          <w:bCs/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Интранет-портала, корпоративных медиа (газеты, журнала)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20" w:line="19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Размещение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видеороликов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(без звука),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статичных заставок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цифровых носителях - на экранах в офисах, в лифтовых холлах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Раздача сотрудникам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>лифлетов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80" w:line="194" w:lineRule="auto"/>
        <w:ind w:left="0" w:right="0" w:firstLine="0"/>
        <w:jc w:val="left"/>
        <w:sectPr>
          <w:headerReference w:type="default" r:id="rId119"/>
          <w:footerReference w:type="default" r:id="rId120"/>
          <w:headerReference w:type="even" r:id="rId121"/>
          <w:footerReference w:type="even" r:id="rId122"/>
          <w:footnotePr>
            <w:pos w:val="pageBottom"/>
            <w:numFmt w:val="decimal"/>
            <w:numRestart w:val="continuous"/>
          </w:footnotePr>
          <w:pgSz w:w="19200" w:h="11076" w:orient="landscape"/>
          <w:pgMar w:top="138" w:right="859" w:bottom="724" w:left="691" w:header="0" w:footer="3" w:gutter="0"/>
          <w:pgNumType w:start="1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 всех информационных продуктах, создаваемых внутри компании / организации, должна быть возможность </w:t>
      </w:r>
      <w:r>
        <w:rPr>
          <w:b/>
          <w:bCs/>
          <w:color w:val="0EB5B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перехода пользователя на специальный лендинг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 исчерпывающей информацией о Программе - </w:t>
      </w:r>
      <w:r>
        <w:rPr>
          <w:color w:val="0663C2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pds.napf.ru/</w:t>
      </w:r>
      <w:r>
        <w:rPr>
          <w:color w:val="0663C2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(через прямую ссылку или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QR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-код)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2220" w:after="220" w:line="240" w:lineRule="auto"/>
        <w:ind w:left="0" w:right="0" w:firstLine="0"/>
        <w:jc w:val="center"/>
        <w:rPr>
          <w:sz w:val="76"/>
          <w:szCs w:val="76"/>
        </w:rPr>
      </w:pPr>
      <w:r>
        <w:rPr>
          <w:rFonts w:ascii="Tahoma" w:eastAsia="Tahoma" w:hAnsi="Tahoma" w:cs="Tahoma"/>
          <w:b/>
          <w:bCs/>
          <w:color w:val="0EB5B5"/>
          <w:spacing w:val="0"/>
          <w:w w:val="100"/>
          <w:position w:val="0"/>
          <w:sz w:val="76"/>
          <w:szCs w:val="76"/>
          <w:shd w:val="clear" w:color="auto" w:fill="auto"/>
          <w:lang w:val="ru-RU" w:eastAsia="ru-RU" w:bidi="ru-RU"/>
        </w:rPr>
        <w:t>ПРИЛОЖЕНИЯ</w:t>
      </w:r>
    </w:p>
    <w:p>
      <w:pPr>
        <w:widowControl w:val="0"/>
        <w:jc w:val="right"/>
        <w:rPr>
          <w:sz w:val="2"/>
          <w:szCs w:val="2"/>
        </w:rPr>
        <w:sectPr>
          <w:headerReference w:type="default" r:id="rId123"/>
          <w:footerReference w:type="default" r:id="rId124"/>
          <w:headerReference w:type="even" r:id="rId125"/>
          <w:footerReference w:type="even" r:id="rId126"/>
          <w:footnotePr>
            <w:pos w:val="pageBottom"/>
            <w:numFmt w:val="decimal"/>
            <w:numRestart w:val="continuous"/>
          </w:footnotePr>
          <w:pgSz w:w="19200" w:h="11076" w:orient="landscape"/>
          <w:pgMar w:top="978" w:right="590" w:bottom="1710" w:left="624" w:header="550" w:footer="1282" w:gutter="0"/>
          <w:pgNumType w:start="19"/>
          <w:cols w:space="720"/>
          <w:noEndnote/>
          <w:rtlGutter w:val="0"/>
          <w:docGrid w:linePitch="360"/>
        </w:sectPr>
      </w:pPr>
      <w:r>
        <w:drawing>
          <wp:inline>
            <wp:extent cx="2005330" cy="3060065"/>
            <wp:docPr id="158" name="Picutre 1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2005330" cy="30600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bookmarkStart w:id="26" w:name="bookmark26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1. Таблицы отчетности</w:t>
      </w:r>
      <w:bookmarkEnd w:id="2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>Охват и эффективность информационной работы</w:t>
      </w:r>
    </w:p>
    <w:tbl>
      <w:tblPr>
        <w:tblOverlap w:val="never"/>
        <w:jc w:val="center"/>
        <w:tblLayout w:type="fixed"/>
      </w:tblPr>
      <w:tblGrid>
        <w:gridCol w:w="9610"/>
        <w:gridCol w:w="4104"/>
        <w:gridCol w:w="4272"/>
      </w:tblGrid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Показатель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Количество, человек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Доля, в % от общего количества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Всего сотрудников компании /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200" w:right="0" w:firstLine="2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Охвачено информационной работой сотрудников компании /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200" w:right="0" w:firstLine="2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Сотрудников компании / организации, принявших решение о переходе из ОПС в ПДС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200" w:right="0" w:firstLine="2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Сотрудников компании / организации, принявших решение о вступлении в ПДС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Очных встреч с сотрудниками проведено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bookmarkStart w:id="28" w:name="bookmark2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1. Таблицы отчетности</w:t>
      </w:r>
      <w:bookmarkEnd w:id="28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E173D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каналов информирования</w:t>
      </w:r>
    </w:p>
    <w:tbl>
      <w:tblPr>
        <w:tblOverlap w:val="never"/>
        <w:jc w:val="center"/>
        <w:tblLayout w:type="fixed"/>
      </w:tblPr>
      <w:tblGrid>
        <w:gridCol w:w="10368"/>
        <w:gridCol w:w="3322"/>
        <w:gridCol w:w="4296"/>
      </w:tblGrid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Канал информирования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Количественный показатель, ед.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color w:val="0EB5B5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Оценочная аудитория, чел.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200" w:right="0" w:firstLine="2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Публикаций в корпоративных медиа (газете, журнале, Интранет портале, др.)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Цифровых носителей в помещении компании / организации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(в офисных и производственных помещениях, лифтовых холлах и т.д.)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Показов видеоролика на цифровых носителях в помещении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Компьютеров офисных сотрудников с размещенной на них заставкой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Лифлетов распространено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200" w:right="0" w:firstLine="2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ru-RU" w:eastAsia="ru-RU" w:bidi="ru-RU"/>
              </w:rPr>
              <w:t>Иные каналы информирования, использованные компанией / организацией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29"/>
          <w:footerReference w:type="default" r:id="rId130"/>
          <w:headerReference w:type="even" r:id="rId131"/>
          <w:footerReference w:type="even" r:id="rId132"/>
          <w:footnotePr>
            <w:pos w:val="pageBottom"/>
            <w:numFmt w:val="decimal"/>
            <w:numRestart w:val="continuous"/>
          </w:footnotePr>
          <w:pgSz w:w="19200" w:h="11076" w:orient="landscape"/>
          <w:pgMar w:top="978" w:right="590" w:bottom="1710" w:left="624" w:header="550" w:footer="3" w:gutter="0"/>
          <w:pgNumType w:start="17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2"/>
          <w:szCs w:val="52"/>
        </w:rPr>
        <w:sectPr>
          <w:headerReference w:type="default" r:id="rId133"/>
          <w:footerReference w:type="default" r:id="rId134"/>
          <w:headerReference w:type="even" r:id="rId135"/>
          <w:footerReference w:type="even" r:id="rId136"/>
          <w:footnotePr>
            <w:pos w:val="pageBottom"/>
            <w:numFmt w:val="decimal"/>
            <w:numRestart w:val="continuous"/>
          </w:footnotePr>
          <w:pgSz w:w="19200" w:h="11076" w:orient="landscape"/>
          <w:pgMar w:top="978" w:right="590" w:bottom="1710" w:left="624" w:header="0" w:footer="1282" w:gutter="0"/>
          <w:pgNumType w:start="22"/>
          <w:cols w:space="720"/>
          <w:noEndnote/>
          <w:rtlGutter w:val="0"/>
          <w:docGrid w:linePitch="360"/>
        </w:sectPr>
      </w:pPr>
      <w:r>
        <w:rPr>
          <w:rFonts w:ascii="Tahoma" w:eastAsia="Tahoma" w:hAnsi="Tahoma" w:cs="Tahoma"/>
          <w:b/>
          <w:bCs/>
          <w:color w:val="0EB5B5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Приложение 2. Вопросы и ответы</w:t>
      </w:r>
    </w:p>
    <w:p>
      <w:pPr>
        <w:pStyle w:val="Style8"/>
        <w:keepNext w:val="0"/>
        <w:keepLines w:val="0"/>
        <w:framePr w:w="1104" w:h="638" w:wrap="none" w:hAnchor="page" w:x="4748" w:y="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Arial" w:eastAsia="Arial" w:hAnsi="Arial" w:cs="Arial"/>
          <w:color w:val="027D73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Минфин</w:t>
      </w:r>
    </w:p>
    <w:p>
      <w:pPr>
        <w:pStyle w:val="Style8"/>
        <w:keepNext w:val="0"/>
        <w:keepLines w:val="0"/>
        <w:framePr w:w="1104" w:h="638" w:wrap="none" w:hAnchor="page" w:x="4748" w:y="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Arial" w:eastAsia="Arial" w:hAnsi="Arial" w:cs="Arial"/>
          <w:color w:val="027D73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России</w:t>
      </w:r>
    </w:p>
    <w:p>
      <w:pPr>
        <w:pStyle w:val="Style5"/>
        <w:keepNext w:val="0"/>
        <w:keepLines w:val="0"/>
        <w:framePr w:w="2261" w:h="456" w:wrap="none" w:hAnchor="page" w:x="7575" w:y="3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Банк России</w:t>
      </w:r>
    </w:p>
    <w:p>
      <w:pPr>
        <w:pStyle w:val="Style8"/>
        <w:keepNext w:val="0"/>
        <w:keepLines w:val="0"/>
        <w:framePr w:w="3850" w:h="730" w:wrap="none" w:hAnchor="page" w:x="11703" w:y="24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  <w:rPr>
          <w:sz w:val="14"/>
          <w:szCs w:val="14"/>
        </w:rPr>
      </w:pPr>
      <w:r>
        <w:rPr>
          <w:rFonts w:ascii="Arial" w:eastAsia="Arial" w:hAnsi="Arial" w:cs="Arial"/>
          <w:b/>
          <w:bCs/>
          <w:color w:val="22357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САМОРЕГУЛИРУЕМАЯ ОРГАНИЗАЦИЯ НАЦИОНАЛЬНАЯ АССОЦИАЦИЯ НЕГОСУДАРСТВЕННЫХ ПЕНСИОННЫХ ФОНДОВ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65" behindDoc="1" locked="0" layoutInCell="1" allowOverlap="1">
            <wp:simplePos x="0" y="0"/>
            <wp:positionH relativeFrom="page">
              <wp:posOffset>2233930</wp:posOffset>
            </wp:positionH>
            <wp:positionV relativeFrom="margin">
              <wp:posOffset>0</wp:posOffset>
            </wp:positionV>
            <wp:extent cx="615950" cy="633730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615950" cy="6337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page">
              <wp:posOffset>4194175</wp:posOffset>
            </wp:positionH>
            <wp:positionV relativeFrom="margin">
              <wp:posOffset>103505</wp:posOffset>
            </wp:positionV>
            <wp:extent cx="530225" cy="51181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530225" cy="511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page">
              <wp:posOffset>6595745</wp:posOffset>
            </wp:positionH>
            <wp:positionV relativeFrom="margin">
              <wp:posOffset>27305</wp:posOffset>
            </wp:positionV>
            <wp:extent cx="713105" cy="713105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713105" cy="7131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9200" w:h="11076" w:orient="landscape"/>
          <w:pgMar w:top="426" w:right="3648" w:bottom="725" w:left="3518" w:header="0" w:footer="297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5" w:after="3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426" w:right="0" w:bottom="72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76"/>
          <w:szCs w:val="7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426" w:right="4296" w:bottom="725" w:left="4296" w:header="0" w:footer="3" w:gutter="0"/>
          <w:cols w:space="720"/>
          <w:noEndnote/>
          <w:rtlGutter w:val="0"/>
          <w:docGrid w:linePitch="360"/>
        </w:sectPr>
      </w:pPr>
      <w:r>
        <w:rPr>
          <w:rFonts w:ascii="Tahoma" w:eastAsia="Tahoma" w:hAnsi="Tahoma" w:cs="Tahoma"/>
          <w:b/>
          <w:bCs/>
          <w:color w:val="0EB5B5"/>
          <w:spacing w:val="0"/>
          <w:w w:val="100"/>
          <w:position w:val="0"/>
          <w:sz w:val="76"/>
          <w:szCs w:val="76"/>
          <w:shd w:val="clear" w:color="auto" w:fill="auto"/>
          <w:lang w:val="ru-RU" w:eastAsia="ru-RU" w:bidi="ru-RU"/>
        </w:rPr>
        <w:t>СПАСИБО ЗА ВНИМАНИЕ!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9200" w:h="11076" w:orient="landscape"/>
          <w:pgMar w:top="426" w:right="0" w:bottom="42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68" behindDoc="1" locked="0" layoutInCell="1" allowOverlap="1">
            <wp:simplePos x="0" y="0"/>
            <wp:positionH relativeFrom="page">
              <wp:posOffset>4773295</wp:posOffset>
            </wp:positionH>
            <wp:positionV relativeFrom="paragraph">
              <wp:posOffset>12700</wp:posOffset>
            </wp:positionV>
            <wp:extent cx="2658110" cy="3127375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2658110" cy="3127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9200" w:h="11076" w:orient="landscape"/>
      <w:pgMar w:top="426" w:right="3648" w:bottom="426" w:left="351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11619230</wp:posOffset>
              </wp:positionH>
              <wp:positionV relativeFrom="page">
                <wp:posOffset>6807835</wp:posOffset>
              </wp:positionV>
              <wp:extent cx="176530" cy="133985"/>
              <wp:wrapNone/>
              <wp:docPr id="94" name="Shape 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0" type="#_x0000_t202" style="position:absolute;margin-left:914.89999999999998pt;margin-top:536.04999999999995pt;width:13.9pt;height:10.550000000000001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11619230</wp:posOffset>
              </wp:positionH>
              <wp:positionV relativeFrom="page">
                <wp:posOffset>6807835</wp:posOffset>
              </wp:positionV>
              <wp:extent cx="176530" cy="133985"/>
              <wp:wrapNone/>
              <wp:docPr id="96" name="Shape 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2" type="#_x0000_t202" style="position:absolute;margin-left:914.89999999999998pt;margin-top:536.04999999999995pt;width:13.9pt;height:10.550000000000001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11704320</wp:posOffset>
              </wp:positionH>
              <wp:positionV relativeFrom="page">
                <wp:posOffset>6567805</wp:posOffset>
              </wp:positionV>
              <wp:extent cx="173990" cy="137160"/>
              <wp:wrapNone/>
              <wp:docPr id="102" name="Shape 10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399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8AA7A9"/>
                              <w:left w:val="single" w:sz="0" w:space="0" w:color="8AA7A9"/>
                              <w:bottom w:val="single" w:sz="0" w:space="0" w:color="8AA7A9"/>
                              <w:right w:val="single" w:sz="0" w:space="0" w:color="8AA7A9"/>
                            </w:pBdr>
                            <w:shd w:val="clear" w:color="auto" w:fill="8AA7A9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8" type="#_x0000_t202" style="position:absolute;margin-left:921.60000000000002pt;margin-top:517.14999999999998pt;width:13.700000000000001pt;height:10.800000000000001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pBdr>
                        <w:top w:val="single" w:sz="0" w:space="0" w:color="8AA7A9"/>
                        <w:left w:val="single" w:sz="0" w:space="0" w:color="8AA7A9"/>
                        <w:bottom w:val="single" w:sz="0" w:space="0" w:color="8AA7A9"/>
                        <w:right w:val="single" w:sz="0" w:space="0" w:color="8AA7A9"/>
                      </w:pBdr>
                      <w:shd w:val="clear" w:color="auto" w:fill="8AA7A9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11704320</wp:posOffset>
              </wp:positionH>
              <wp:positionV relativeFrom="page">
                <wp:posOffset>6567805</wp:posOffset>
              </wp:positionV>
              <wp:extent cx="173990" cy="137160"/>
              <wp:wrapNone/>
              <wp:docPr id="104" name="Shape 10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399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8AA7A9"/>
                              <w:left w:val="single" w:sz="0" w:space="0" w:color="8AA7A9"/>
                              <w:bottom w:val="single" w:sz="0" w:space="0" w:color="8AA7A9"/>
                              <w:right w:val="single" w:sz="0" w:space="0" w:color="8AA7A9"/>
                            </w:pBdr>
                            <w:shd w:val="clear" w:color="auto" w:fill="8AA7A9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0" type="#_x0000_t202" style="position:absolute;margin-left:921.60000000000002pt;margin-top:517.14999999999998pt;width:13.700000000000001pt;height:10.800000000000001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pBdr>
                        <w:top w:val="single" w:sz="0" w:space="0" w:color="8AA7A9"/>
                        <w:left w:val="single" w:sz="0" w:space="0" w:color="8AA7A9"/>
                        <w:bottom w:val="single" w:sz="0" w:space="0" w:color="8AA7A9"/>
                        <w:right w:val="single" w:sz="0" w:space="0" w:color="8AA7A9"/>
                      </w:pBdr>
                      <w:shd w:val="clear" w:color="auto" w:fill="8AA7A9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11701145</wp:posOffset>
              </wp:positionH>
              <wp:positionV relativeFrom="page">
                <wp:posOffset>6570980</wp:posOffset>
              </wp:positionV>
              <wp:extent cx="176530" cy="130810"/>
              <wp:wrapNone/>
              <wp:docPr id="122" name="Shape 1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8" type="#_x0000_t202" style="position:absolute;margin-left:921.35000000000002pt;margin-top:517.39999999999998pt;width:13.9pt;height:10.300000000000001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11701145</wp:posOffset>
              </wp:positionH>
              <wp:positionV relativeFrom="page">
                <wp:posOffset>6570980</wp:posOffset>
              </wp:positionV>
              <wp:extent cx="176530" cy="130810"/>
              <wp:wrapNone/>
              <wp:docPr id="126" name="Shape 1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2" type="#_x0000_t202" style="position:absolute;margin-left:921.35000000000002pt;margin-top:517.39999999999998pt;width:13.9pt;height:10.300000000000001pt;z-index:-1887440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7" behindDoc="1" locked="0" layoutInCell="1" allowOverlap="1">
              <wp:simplePos x="0" y="0"/>
              <wp:positionH relativeFrom="page">
                <wp:posOffset>11701145</wp:posOffset>
              </wp:positionH>
              <wp:positionV relativeFrom="page">
                <wp:posOffset>6570980</wp:posOffset>
              </wp:positionV>
              <wp:extent cx="176530" cy="133985"/>
              <wp:wrapNone/>
              <wp:docPr id="136" name="Shape 1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EB6B7"/>
                              <w:left w:val="single" w:sz="0" w:space="0" w:color="0EB6B7"/>
                              <w:bottom w:val="single" w:sz="0" w:space="0" w:color="0EB6B7"/>
                              <w:right w:val="single" w:sz="0" w:space="0" w:color="0EB6B7"/>
                            </w:pBdr>
                            <w:shd w:val="clear" w:color="auto" w:fill="0EB6B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2" type="#_x0000_t202" style="position:absolute;margin-left:921.35000000000002pt;margin-top:517.39999999999998pt;width:13.9pt;height:10.550000000000001pt;z-index:-18874400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pBdr>
                        <w:top w:val="single" w:sz="0" w:space="0" w:color="0EB6B7"/>
                        <w:left w:val="single" w:sz="0" w:space="0" w:color="0EB6B7"/>
                        <w:bottom w:val="single" w:sz="0" w:space="0" w:color="0EB6B7"/>
                        <w:right w:val="single" w:sz="0" w:space="0" w:color="0EB6B7"/>
                      </w:pBdr>
                      <w:shd w:val="clear" w:color="auto" w:fill="0EB6B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11725910</wp:posOffset>
              </wp:positionH>
              <wp:positionV relativeFrom="page">
                <wp:posOffset>6664325</wp:posOffset>
              </wp:positionV>
              <wp:extent cx="85090" cy="13081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09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923.30000000000007pt;margin-top:524.75pt;width:6.7000000000000002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11701145</wp:posOffset>
              </wp:positionH>
              <wp:positionV relativeFrom="page">
                <wp:posOffset>6570980</wp:posOffset>
              </wp:positionV>
              <wp:extent cx="176530" cy="133985"/>
              <wp:wrapNone/>
              <wp:docPr id="140" name="Shape 1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EB6B7"/>
                              <w:left w:val="single" w:sz="0" w:space="0" w:color="0EB6B7"/>
                              <w:bottom w:val="single" w:sz="0" w:space="0" w:color="0EB6B7"/>
                              <w:right w:val="single" w:sz="0" w:space="0" w:color="0EB6B7"/>
                            </w:pBdr>
                            <w:shd w:val="clear" w:color="auto" w:fill="0EB6B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6" type="#_x0000_t202" style="position:absolute;margin-left:921.35000000000002pt;margin-top:517.39999999999998pt;width:13.9pt;height:10.550000000000001pt;z-index:-1887440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pBdr>
                        <w:top w:val="single" w:sz="0" w:space="0" w:color="0EB6B7"/>
                        <w:left w:val="single" w:sz="0" w:space="0" w:color="0EB6B7"/>
                        <w:bottom w:val="single" w:sz="0" w:space="0" w:color="0EB6B7"/>
                        <w:right w:val="single" w:sz="0" w:space="0" w:color="0EB6B7"/>
                      </w:pBdr>
                      <w:shd w:val="clear" w:color="auto" w:fill="0EB6B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7" behindDoc="1" locked="0" layoutInCell="1" allowOverlap="1">
              <wp:simplePos x="0" y="0"/>
              <wp:positionH relativeFrom="page">
                <wp:posOffset>11701145</wp:posOffset>
              </wp:positionH>
              <wp:positionV relativeFrom="page">
                <wp:posOffset>6573520</wp:posOffset>
              </wp:positionV>
              <wp:extent cx="176530" cy="130810"/>
              <wp:wrapNone/>
              <wp:docPr id="154" name="Shape 1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0" type="#_x0000_t202" style="position:absolute;margin-left:921.35000000000002pt;margin-top:517.60000000000002pt;width:13.9pt;height:10.300000000000001pt;z-index:-18874399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11701145</wp:posOffset>
              </wp:positionH>
              <wp:positionV relativeFrom="page">
                <wp:posOffset>6573520</wp:posOffset>
              </wp:positionV>
              <wp:extent cx="176530" cy="130810"/>
              <wp:wrapNone/>
              <wp:docPr id="156" name="Shape 1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2" type="#_x0000_t202" style="position:absolute;margin-left:921.35000000000002pt;margin-top:517.60000000000002pt;width:13.9pt;height:10.300000000000001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1" behindDoc="1" locked="0" layoutInCell="1" allowOverlap="1">
              <wp:simplePos x="0" y="0"/>
              <wp:positionH relativeFrom="page">
                <wp:posOffset>11680190</wp:posOffset>
              </wp:positionH>
              <wp:positionV relativeFrom="page">
                <wp:posOffset>6659245</wp:posOffset>
              </wp:positionV>
              <wp:extent cx="176530" cy="128270"/>
              <wp:wrapNone/>
              <wp:docPr id="159" name="Shape 1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EB6B7"/>
                              <w:left w:val="single" w:sz="0" w:space="0" w:color="0EB6B7"/>
                              <w:bottom w:val="single" w:sz="0" w:space="0" w:color="0EB6B7"/>
                              <w:right w:val="single" w:sz="0" w:space="0" w:color="0EB6B7"/>
                            </w:pBdr>
                            <w:shd w:val="clear" w:color="auto" w:fill="0EB6B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5" type="#_x0000_t202" style="position:absolute;margin-left:919.70000000000005pt;margin-top:524.35000000000002pt;width:13.9pt;height:10.1pt;z-index:-1887439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pBdr>
                        <w:top w:val="single" w:sz="0" w:space="0" w:color="0EB6B7"/>
                        <w:left w:val="single" w:sz="0" w:space="0" w:color="0EB6B7"/>
                        <w:bottom w:val="single" w:sz="0" w:space="0" w:color="0EB6B7"/>
                        <w:right w:val="single" w:sz="0" w:space="0" w:color="0EB6B7"/>
                      </w:pBdr>
                      <w:shd w:val="clear" w:color="auto" w:fill="0EB6B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11680190</wp:posOffset>
              </wp:positionH>
              <wp:positionV relativeFrom="page">
                <wp:posOffset>6659245</wp:posOffset>
              </wp:positionV>
              <wp:extent cx="176530" cy="128270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65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pBdr>
                              <w:top w:val="single" w:sz="0" w:space="0" w:color="0EB6B7"/>
                              <w:left w:val="single" w:sz="0" w:space="0" w:color="0EB6B7"/>
                              <w:bottom w:val="single" w:sz="0" w:space="0" w:color="0EB6B7"/>
                              <w:right w:val="single" w:sz="0" w:space="0" w:color="0EB6B7"/>
                            </w:pBdr>
                            <w:shd w:val="clear" w:color="auto" w:fill="0EB6B7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919.70000000000005pt;margin-top:524.35000000000002pt;width:13.9pt;height:10.1pt;z-index:-18874399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pBdr>
                        <w:top w:val="single" w:sz="0" w:space="0" w:color="0EB6B7"/>
                        <w:left w:val="single" w:sz="0" w:space="0" w:color="0EB6B7"/>
                        <w:bottom w:val="single" w:sz="0" w:space="0" w:color="0EB6B7"/>
                        <w:right w:val="single" w:sz="0" w:space="0" w:color="0EB6B7"/>
                      </w:pBdr>
                      <w:shd w:val="clear" w:color="auto" w:fill="0EB6B7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5200015</wp:posOffset>
              </wp:positionH>
              <wp:positionV relativeFrom="page">
                <wp:posOffset>6483350</wp:posOffset>
              </wp:positionV>
              <wp:extent cx="85090" cy="133985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09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173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>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409.44999999999999pt;margin-top:510.5pt;width:6.7000000000000002pt;height:10.55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E173D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5200015</wp:posOffset>
              </wp:positionH>
              <wp:positionV relativeFrom="page">
                <wp:posOffset>6483350</wp:posOffset>
              </wp:positionV>
              <wp:extent cx="85090" cy="133985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09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E173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>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409.44999999999999pt;margin-top:510.5pt;width:6.7000000000000002pt;height:10.550000000000001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E173D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11725910</wp:posOffset>
              </wp:positionH>
              <wp:positionV relativeFrom="page">
                <wp:posOffset>6570980</wp:posOffset>
              </wp:positionV>
              <wp:extent cx="85090" cy="133985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09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923.30000000000007pt;margin-top:517.39999999999998pt;width:6.7000000000000002pt;height:10.550000000000001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11725910</wp:posOffset>
              </wp:positionH>
              <wp:positionV relativeFrom="page">
                <wp:posOffset>6570980</wp:posOffset>
              </wp:positionV>
              <wp:extent cx="85090" cy="133985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09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E173D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923.30000000000007pt;margin-top:517.39999999999998pt;width:6.7000000000000002pt;height:10.550000000000001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E173D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472440</wp:posOffset>
              </wp:positionH>
              <wp:positionV relativeFrom="page">
                <wp:posOffset>614680</wp:posOffset>
              </wp:positionV>
              <wp:extent cx="7101840" cy="323215"/>
              <wp:wrapNone/>
              <wp:docPr id="120" name="Shape 1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0184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EB5B5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  <w:shd w:val="clear" w:color="auto" w:fill="auto"/>
                              <w:lang w:val="ru-RU" w:eastAsia="ru-RU" w:bidi="ru-RU"/>
                            </w:rPr>
                            <w:t>Система информирования и отчетности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6" type="#_x0000_t202" style="position:absolute;margin-left:37.200000000000003pt;margin-top:48.399999999999999pt;width:559.20000000000005pt;height:25.449999999999999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EB5B5"/>
                        <w:spacing w:val="0"/>
                        <w:w w:val="100"/>
                        <w:position w:val="0"/>
                        <w:sz w:val="52"/>
                        <w:szCs w:val="52"/>
                        <w:shd w:val="clear" w:color="auto" w:fill="auto"/>
                        <w:lang w:val="ru-RU" w:eastAsia="ru-RU" w:bidi="ru-RU"/>
                      </w:rPr>
                      <w:t>Система информирования и отчетности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472440</wp:posOffset>
              </wp:positionH>
              <wp:positionV relativeFrom="page">
                <wp:posOffset>614680</wp:posOffset>
              </wp:positionV>
              <wp:extent cx="7101840" cy="323215"/>
              <wp:wrapNone/>
              <wp:docPr id="124" name="Shape 1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0184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EB5B5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  <w:shd w:val="clear" w:color="auto" w:fill="auto"/>
                              <w:lang w:val="ru-RU" w:eastAsia="ru-RU" w:bidi="ru-RU"/>
                            </w:rPr>
                            <w:t>Система информирования и отчетности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0" type="#_x0000_t202" style="position:absolute;margin-left:37.200000000000003pt;margin-top:48.399999999999999pt;width:559.20000000000005pt;height:25.449999999999999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EB5B5"/>
                        <w:spacing w:val="0"/>
                        <w:w w:val="100"/>
                        <w:position w:val="0"/>
                        <w:sz w:val="52"/>
                        <w:szCs w:val="52"/>
                        <w:shd w:val="clear" w:color="auto" w:fill="auto"/>
                        <w:lang w:val="ru-RU" w:eastAsia="ru-RU" w:bidi="ru-RU"/>
                      </w:rPr>
                      <w:t>Система информирования и отчетности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472440</wp:posOffset>
              </wp:positionH>
              <wp:positionV relativeFrom="page">
                <wp:posOffset>614680</wp:posOffset>
              </wp:positionV>
              <wp:extent cx="7101840" cy="323215"/>
              <wp:wrapNone/>
              <wp:docPr id="134" name="Shape 1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0184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EB5B5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  <w:shd w:val="clear" w:color="auto" w:fill="auto"/>
                              <w:lang w:val="ru-RU" w:eastAsia="ru-RU" w:bidi="ru-RU"/>
                            </w:rPr>
                            <w:t>Система информирования и отчетности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0" type="#_x0000_t202" style="position:absolute;margin-left:37.200000000000003pt;margin-top:48.399999999999999pt;width:559.20000000000005pt;height:25.449999999999999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EB5B5"/>
                        <w:spacing w:val="0"/>
                        <w:w w:val="100"/>
                        <w:position w:val="0"/>
                        <w:sz w:val="52"/>
                        <w:szCs w:val="52"/>
                        <w:shd w:val="clear" w:color="auto" w:fill="auto"/>
                        <w:lang w:val="ru-RU" w:eastAsia="ru-RU" w:bidi="ru-RU"/>
                      </w:rPr>
                      <w:t>Система информирования и отчетности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9" behindDoc="1" locked="0" layoutInCell="1" allowOverlap="1">
              <wp:simplePos x="0" y="0"/>
              <wp:positionH relativeFrom="page">
                <wp:posOffset>472440</wp:posOffset>
              </wp:positionH>
              <wp:positionV relativeFrom="page">
                <wp:posOffset>614680</wp:posOffset>
              </wp:positionV>
              <wp:extent cx="7101840" cy="323215"/>
              <wp:wrapNone/>
              <wp:docPr id="138" name="Shape 1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0184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EB5B5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  <w:shd w:val="clear" w:color="auto" w:fill="auto"/>
                              <w:lang w:val="ru-RU" w:eastAsia="ru-RU" w:bidi="ru-RU"/>
                            </w:rPr>
                            <w:t>Система информирования и отчетности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4" type="#_x0000_t202" style="position:absolute;margin-left:37.200000000000003pt;margin-top:48.399999999999999pt;width:559.20000000000005pt;height:25.449999999999999pt;z-index:-18874400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EB5B5"/>
                        <w:spacing w:val="0"/>
                        <w:w w:val="100"/>
                        <w:position w:val="0"/>
                        <w:sz w:val="52"/>
                        <w:szCs w:val="52"/>
                        <w:shd w:val="clear" w:color="auto" w:fill="auto"/>
                        <w:lang w:val="ru-RU" w:eastAsia="ru-RU" w:bidi="ru-RU"/>
                      </w:rPr>
                      <w:t>Система информирования и отчетности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3" behindDoc="1" locked="0" layoutInCell="1" allowOverlap="1">
              <wp:simplePos x="0" y="0"/>
              <wp:positionH relativeFrom="page">
                <wp:posOffset>472440</wp:posOffset>
              </wp:positionH>
              <wp:positionV relativeFrom="page">
                <wp:posOffset>614680</wp:posOffset>
              </wp:positionV>
              <wp:extent cx="7101840" cy="323215"/>
              <wp:wrapNone/>
              <wp:docPr id="142" name="Shape 1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0184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EB5B5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  <w:shd w:val="clear" w:color="auto" w:fill="auto"/>
                              <w:lang w:val="ru-RU" w:eastAsia="ru-RU" w:bidi="ru-RU"/>
                            </w:rPr>
                            <w:t>Система информирования и отчетности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8" type="#_x0000_t202" style="position:absolute;margin-left:37.200000000000003pt;margin-top:48.399999999999999pt;width:559.20000000000005pt;height:25.449999999999999pt;z-index:-18874400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EB5B5"/>
                        <w:spacing w:val="0"/>
                        <w:w w:val="100"/>
                        <w:position w:val="0"/>
                        <w:sz w:val="52"/>
                        <w:szCs w:val="52"/>
                        <w:shd w:val="clear" w:color="auto" w:fill="auto"/>
                        <w:lang w:val="ru-RU" w:eastAsia="ru-RU" w:bidi="ru-RU"/>
                      </w:rPr>
                      <w:t>Система информирования и отчетности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5" behindDoc="1" locked="0" layoutInCell="1" allowOverlap="1">
              <wp:simplePos x="0" y="0"/>
              <wp:positionH relativeFrom="page">
                <wp:posOffset>472440</wp:posOffset>
              </wp:positionH>
              <wp:positionV relativeFrom="page">
                <wp:posOffset>614680</wp:posOffset>
              </wp:positionV>
              <wp:extent cx="7101840" cy="323215"/>
              <wp:wrapNone/>
              <wp:docPr id="144" name="Shape 14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10184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0EB5B5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  <w:shd w:val="clear" w:color="auto" w:fill="auto"/>
                              <w:lang w:val="ru-RU" w:eastAsia="ru-RU" w:bidi="ru-RU"/>
                            </w:rPr>
                            <w:t>Система информирования и отчетности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0" type="#_x0000_t202" style="position:absolute;margin-left:37.200000000000003pt;margin-top:48.399999999999999pt;width:559.20000000000005pt;height:25.449999999999999pt;z-index:-1887439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EB5B5"/>
                        <w:spacing w:val="0"/>
                        <w:w w:val="100"/>
                        <w:position w:val="0"/>
                        <w:sz w:val="52"/>
                        <w:szCs w:val="52"/>
                        <w:shd w:val="clear" w:color="auto" w:fill="auto"/>
                        <w:lang w:val="ru-RU" w:eastAsia="ru-RU" w:bidi="ru-RU"/>
                      </w:rPr>
                      <w:t>Система информирования и отчетности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■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■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EB5B5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■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EB5B5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&gt;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&gt;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6">
    <w:name w:val="Основной текст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EB5B5"/>
      <w:sz w:val="38"/>
      <w:szCs w:val="38"/>
      <w:u w:val="none"/>
    </w:rPr>
  </w:style>
  <w:style w:type="character" w:customStyle="1" w:styleId="CharStyle9">
    <w:name w:val="Другое_"/>
    <w:basedOn w:val="DefaultParagraphFont"/>
    <w:link w:val="Style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Основной текст_"/>
    <w:basedOn w:val="DefaultParagraphFont"/>
    <w:link w:val="Style1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6">
    <w:name w:val="Заголовок №1_"/>
    <w:basedOn w:val="DefaultParagraphFont"/>
    <w:link w:val="Style15"/>
    <w:rPr>
      <w:rFonts w:ascii="Tahoma" w:eastAsia="Tahoma" w:hAnsi="Tahoma" w:cs="Tahoma"/>
      <w:b/>
      <w:bCs/>
      <w:i w:val="0"/>
      <w:iCs w:val="0"/>
      <w:smallCaps w:val="0"/>
      <w:strike w:val="0"/>
      <w:color w:val="0EB5B5"/>
      <w:sz w:val="52"/>
      <w:szCs w:val="52"/>
      <w:u w:val="none"/>
    </w:rPr>
  </w:style>
  <w:style w:type="character" w:customStyle="1" w:styleId="CharStyle18">
    <w:name w:val="Колонтитул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Основной текст (2)_"/>
    <w:basedOn w:val="DefaultParagraphFont"/>
    <w:link w:val="Style20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auto"/>
      <w:spacing w:after="40" w:line="22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EB5B5"/>
      <w:sz w:val="38"/>
      <w:szCs w:val="38"/>
      <w:u w:val="none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Основной текст"/>
    <w:basedOn w:val="Normal"/>
    <w:link w:val="CharStyle13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5">
    <w:name w:val="Заголовок №1"/>
    <w:basedOn w:val="Normal"/>
    <w:link w:val="CharStyle16"/>
    <w:pPr>
      <w:widowControl w:val="0"/>
      <w:shd w:val="clear" w:color="auto" w:fill="auto"/>
      <w:outlineLvl w:val="0"/>
    </w:pPr>
    <w:rPr>
      <w:rFonts w:ascii="Tahoma" w:eastAsia="Tahoma" w:hAnsi="Tahoma" w:cs="Tahoma"/>
      <w:b/>
      <w:bCs/>
      <w:i w:val="0"/>
      <w:iCs w:val="0"/>
      <w:smallCaps w:val="0"/>
      <w:strike w:val="0"/>
      <w:color w:val="0EB5B5"/>
      <w:sz w:val="52"/>
      <w:szCs w:val="52"/>
      <w:u w:val="none"/>
    </w:rPr>
  </w:style>
  <w:style w:type="paragraph" w:customStyle="1" w:styleId="Style17">
    <w:name w:val="Колонтитул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Основной текст (2)"/>
    <w:basedOn w:val="Normal"/>
    <w:link w:val="CharStyle21"/>
    <w:pPr>
      <w:widowControl w:val="0"/>
      <w:shd w:val="clear" w:color="auto" w:fill="auto"/>
      <w:spacing w:line="209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footer" Target="footer3.xml"/><Relationship Id="rId30" Type="http://schemas.openxmlformats.org/officeDocument/2006/relationships/footer" Target="footer4.xml"/><Relationship Id="rId31" Type="http://schemas.openxmlformats.org/officeDocument/2006/relationships/footer" Target="footer5.xml"/><Relationship Id="rId32" Type="http://schemas.openxmlformats.org/officeDocument/2006/relationships/footer" Target="footer6.xml"/><Relationship Id="rId33" Type="http://schemas.openxmlformats.org/officeDocument/2006/relationships/image" Target="media/image12.png"/><Relationship Id="rId34" Type="http://schemas.openxmlformats.org/officeDocument/2006/relationships/image" Target="media/image12.png" TargetMode="External"/><Relationship Id="rId35" Type="http://schemas.openxmlformats.org/officeDocument/2006/relationships/image" Target="media/image13.jpeg"/><Relationship Id="rId36" Type="http://schemas.openxmlformats.org/officeDocument/2006/relationships/image" Target="media/image13.jpeg" TargetMode="External"/><Relationship Id="rId37" Type="http://schemas.openxmlformats.org/officeDocument/2006/relationships/image" Target="media/image14.jpeg"/><Relationship Id="rId38" Type="http://schemas.openxmlformats.org/officeDocument/2006/relationships/image" Target="media/image14.jpeg" TargetMode="External"/><Relationship Id="rId39" Type="http://schemas.openxmlformats.org/officeDocument/2006/relationships/image" Target="media/image15.jpeg"/><Relationship Id="rId40" Type="http://schemas.openxmlformats.org/officeDocument/2006/relationships/image" Target="media/image15.jpeg" TargetMode="External"/><Relationship Id="rId41" Type="http://schemas.openxmlformats.org/officeDocument/2006/relationships/image" Target="media/image16.jpeg"/><Relationship Id="rId42" Type="http://schemas.openxmlformats.org/officeDocument/2006/relationships/image" Target="media/image16.jpeg" TargetMode="External"/><Relationship Id="rId43" Type="http://schemas.openxmlformats.org/officeDocument/2006/relationships/image" Target="media/image17.jpeg"/><Relationship Id="rId44" Type="http://schemas.openxmlformats.org/officeDocument/2006/relationships/image" Target="media/image17.jpeg" TargetMode="External"/><Relationship Id="rId45" Type="http://schemas.openxmlformats.org/officeDocument/2006/relationships/image" Target="media/image18.jpeg"/><Relationship Id="rId46" Type="http://schemas.openxmlformats.org/officeDocument/2006/relationships/image" Target="media/image18.jpeg" TargetMode="External"/><Relationship Id="rId47" Type="http://schemas.openxmlformats.org/officeDocument/2006/relationships/image" Target="media/image19.jpeg"/><Relationship Id="rId48" Type="http://schemas.openxmlformats.org/officeDocument/2006/relationships/image" Target="media/image19.jpeg" TargetMode="External"/><Relationship Id="rId49" Type="http://schemas.openxmlformats.org/officeDocument/2006/relationships/image" Target="media/image20.jpeg"/><Relationship Id="rId50" Type="http://schemas.openxmlformats.org/officeDocument/2006/relationships/image" Target="media/image20.jpeg" TargetMode="External"/><Relationship Id="rId51" Type="http://schemas.openxmlformats.org/officeDocument/2006/relationships/image" Target="media/image21.jpeg"/><Relationship Id="rId52" Type="http://schemas.openxmlformats.org/officeDocument/2006/relationships/image" Target="media/image21.jpeg" TargetMode="External"/><Relationship Id="rId53" Type="http://schemas.openxmlformats.org/officeDocument/2006/relationships/image" Target="media/image22.jpeg"/><Relationship Id="rId54" Type="http://schemas.openxmlformats.org/officeDocument/2006/relationships/image" Target="media/image22.jpeg" TargetMode="External"/><Relationship Id="rId55" Type="http://schemas.openxmlformats.org/officeDocument/2006/relationships/image" Target="media/image23.jpeg"/><Relationship Id="rId56" Type="http://schemas.openxmlformats.org/officeDocument/2006/relationships/image" Target="media/image23.jpeg" TargetMode="External"/><Relationship Id="rId57" Type="http://schemas.openxmlformats.org/officeDocument/2006/relationships/image" Target="media/image24.jpeg"/><Relationship Id="rId58" Type="http://schemas.openxmlformats.org/officeDocument/2006/relationships/image" Target="media/image24.jpeg" TargetMode="External"/><Relationship Id="rId59" Type="http://schemas.openxmlformats.org/officeDocument/2006/relationships/footer" Target="footer7.xml"/><Relationship Id="rId60" Type="http://schemas.openxmlformats.org/officeDocument/2006/relationships/footer" Target="footer8.xml"/><Relationship Id="rId61" Type="http://schemas.openxmlformats.org/officeDocument/2006/relationships/footer" Target="footer9.xml"/><Relationship Id="rId62" Type="http://schemas.openxmlformats.org/officeDocument/2006/relationships/footer" Target="footer10.xml"/><Relationship Id="rId63" Type="http://schemas.openxmlformats.org/officeDocument/2006/relationships/image" Target="media/image25.jpeg"/><Relationship Id="rId64" Type="http://schemas.openxmlformats.org/officeDocument/2006/relationships/image" Target="media/image25.jpeg" TargetMode="External"/><Relationship Id="rId65" Type="http://schemas.openxmlformats.org/officeDocument/2006/relationships/image" Target="media/image26.jpeg"/><Relationship Id="rId66" Type="http://schemas.openxmlformats.org/officeDocument/2006/relationships/image" Target="media/image26.jpeg" TargetMode="External"/><Relationship Id="rId67" Type="http://schemas.openxmlformats.org/officeDocument/2006/relationships/image" Target="media/image27.jpeg"/><Relationship Id="rId68" Type="http://schemas.openxmlformats.org/officeDocument/2006/relationships/image" Target="media/image27.jpeg" TargetMode="External"/><Relationship Id="rId69" Type="http://schemas.openxmlformats.org/officeDocument/2006/relationships/image" Target="media/image28.jpeg"/><Relationship Id="rId70" Type="http://schemas.openxmlformats.org/officeDocument/2006/relationships/image" Target="media/image28.jpeg" TargetMode="External"/><Relationship Id="rId71" Type="http://schemas.openxmlformats.org/officeDocument/2006/relationships/image" Target="media/image29.jpeg"/><Relationship Id="rId72" Type="http://schemas.openxmlformats.org/officeDocument/2006/relationships/image" Target="media/image29.jpeg" TargetMode="External"/><Relationship Id="rId73" Type="http://schemas.openxmlformats.org/officeDocument/2006/relationships/image" Target="media/image30.jpeg"/><Relationship Id="rId74" Type="http://schemas.openxmlformats.org/officeDocument/2006/relationships/image" Target="media/image30.jpeg" TargetMode="External"/><Relationship Id="rId75" Type="http://schemas.openxmlformats.org/officeDocument/2006/relationships/image" Target="media/image31.jpeg"/><Relationship Id="rId76" Type="http://schemas.openxmlformats.org/officeDocument/2006/relationships/image" Target="media/image31.jpeg" TargetMode="External"/><Relationship Id="rId77" Type="http://schemas.openxmlformats.org/officeDocument/2006/relationships/footer" Target="footer11.xml"/><Relationship Id="rId78" Type="http://schemas.openxmlformats.org/officeDocument/2006/relationships/footer" Target="footer12.xml"/><Relationship Id="rId79" Type="http://schemas.openxmlformats.org/officeDocument/2006/relationships/image" Target="media/image32.jpeg"/><Relationship Id="rId80" Type="http://schemas.openxmlformats.org/officeDocument/2006/relationships/image" Target="media/image32.jpeg" TargetMode="External"/><Relationship Id="rId81" Type="http://schemas.openxmlformats.org/officeDocument/2006/relationships/image" Target="media/image33.jpeg"/><Relationship Id="rId82" Type="http://schemas.openxmlformats.org/officeDocument/2006/relationships/image" Target="media/image33.jpeg" TargetMode="External"/><Relationship Id="rId83" Type="http://schemas.openxmlformats.org/officeDocument/2006/relationships/footer" Target="footer13.xml"/><Relationship Id="rId84" Type="http://schemas.openxmlformats.org/officeDocument/2006/relationships/footer" Target="footer14.xml"/><Relationship Id="rId85" Type="http://schemas.openxmlformats.org/officeDocument/2006/relationships/image" Target="media/image34.jpeg"/><Relationship Id="rId86" Type="http://schemas.openxmlformats.org/officeDocument/2006/relationships/image" Target="media/image34.jpeg" TargetMode="External"/><Relationship Id="rId87" Type="http://schemas.openxmlformats.org/officeDocument/2006/relationships/image" Target="media/image35.jpeg"/><Relationship Id="rId88" Type="http://schemas.openxmlformats.org/officeDocument/2006/relationships/image" Target="media/image35.jpeg" TargetMode="External"/><Relationship Id="rId89" Type="http://schemas.openxmlformats.org/officeDocument/2006/relationships/image" Target="media/image36.jpeg"/><Relationship Id="rId90" Type="http://schemas.openxmlformats.org/officeDocument/2006/relationships/image" Target="media/image36.jpeg" TargetMode="External"/><Relationship Id="rId91" Type="http://schemas.openxmlformats.org/officeDocument/2006/relationships/image" Target="media/image37.jpeg"/><Relationship Id="rId92" Type="http://schemas.openxmlformats.org/officeDocument/2006/relationships/image" Target="media/image37.jpeg" TargetMode="External"/><Relationship Id="rId93" Type="http://schemas.openxmlformats.org/officeDocument/2006/relationships/image" Target="media/image38.jpeg"/><Relationship Id="rId94" Type="http://schemas.openxmlformats.org/officeDocument/2006/relationships/image" Target="media/image38.jpeg" TargetMode="External"/><Relationship Id="rId95" Type="http://schemas.openxmlformats.org/officeDocument/2006/relationships/image" Target="media/image39.jpeg"/><Relationship Id="rId96" Type="http://schemas.openxmlformats.org/officeDocument/2006/relationships/image" Target="media/image39.jpeg" TargetMode="External"/><Relationship Id="rId97" Type="http://schemas.openxmlformats.org/officeDocument/2006/relationships/image" Target="media/image40.jpeg"/><Relationship Id="rId98" Type="http://schemas.openxmlformats.org/officeDocument/2006/relationships/image" Target="media/image40.jpeg" TargetMode="External"/><Relationship Id="rId99" Type="http://schemas.openxmlformats.org/officeDocument/2006/relationships/footer" Target="footer15.xml"/><Relationship Id="rId100" Type="http://schemas.openxmlformats.org/officeDocument/2006/relationships/footer" Target="footer16.xml"/><Relationship Id="rId101" Type="http://schemas.openxmlformats.org/officeDocument/2006/relationships/header" Target="header1.xml"/><Relationship Id="rId102" Type="http://schemas.openxmlformats.org/officeDocument/2006/relationships/footer" Target="footer17.xml"/><Relationship Id="rId103" Type="http://schemas.openxmlformats.org/officeDocument/2006/relationships/header" Target="header2.xml"/><Relationship Id="rId104" Type="http://schemas.openxmlformats.org/officeDocument/2006/relationships/footer" Target="footer18.xml"/><Relationship Id="rId105" Type="http://schemas.openxmlformats.org/officeDocument/2006/relationships/image" Target="media/image41.jpeg"/><Relationship Id="rId106" Type="http://schemas.openxmlformats.org/officeDocument/2006/relationships/image" Target="media/image41.jpeg" TargetMode="External"/><Relationship Id="rId107" Type="http://schemas.openxmlformats.org/officeDocument/2006/relationships/header" Target="header3.xml"/><Relationship Id="rId108" Type="http://schemas.openxmlformats.org/officeDocument/2006/relationships/footer" Target="footer19.xml"/><Relationship Id="rId109" Type="http://schemas.openxmlformats.org/officeDocument/2006/relationships/header" Target="header4.xml"/><Relationship Id="rId110" Type="http://schemas.openxmlformats.org/officeDocument/2006/relationships/footer" Target="footer20.xml"/><Relationship Id="rId111" Type="http://schemas.openxmlformats.org/officeDocument/2006/relationships/header" Target="header5.xml"/><Relationship Id="rId112" Type="http://schemas.openxmlformats.org/officeDocument/2006/relationships/footer" Target="footer21.xml"/><Relationship Id="rId113" Type="http://schemas.openxmlformats.org/officeDocument/2006/relationships/header" Target="header6.xml"/><Relationship Id="rId114" Type="http://schemas.openxmlformats.org/officeDocument/2006/relationships/footer" Target="footer22.xml"/><Relationship Id="rId115" Type="http://schemas.openxmlformats.org/officeDocument/2006/relationships/image" Target="media/image42.png"/><Relationship Id="rId116" Type="http://schemas.openxmlformats.org/officeDocument/2006/relationships/image" Target="media/image42.png" TargetMode="External"/><Relationship Id="rId117" Type="http://schemas.openxmlformats.org/officeDocument/2006/relationships/image" Target="media/image43.jpeg"/><Relationship Id="rId118" Type="http://schemas.openxmlformats.org/officeDocument/2006/relationships/image" Target="media/image43.jpeg" TargetMode="External"/><Relationship Id="rId119" Type="http://schemas.openxmlformats.org/officeDocument/2006/relationships/header" Target="header7.xml"/><Relationship Id="rId120" Type="http://schemas.openxmlformats.org/officeDocument/2006/relationships/footer" Target="footer23.xml"/><Relationship Id="rId121" Type="http://schemas.openxmlformats.org/officeDocument/2006/relationships/header" Target="header8.xml"/><Relationship Id="rId122" Type="http://schemas.openxmlformats.org/officeDocument/2006/relationships/footer" Target="footer24.xml"/><Relationship Id="rId123" Type="http://schemas.openxmlformats.org/officeDocument/2006/relationships/header" Target="header9.xml"/><Relationship Id="rId124" Type="http://schemas.openxmlformats.org/officeDocument/2006/relationships/footer" Target="footer25.xml"/><Relationship Id="rId125" Type="http://schemas.openxmlformats.org/officeDocument/2006/relationships/header" Target="header10.xml"/><Relationship Id="rId126" Type="http://schemas.openxmlformats.org/officeDocument/2006/relationships/footer" Target="footer26.xml"/><Relationship Id="rId127" Type="http://schemas.openxmlformats.org/officeDocument/2006/relationships/image" Target="media/image44.jpeg"/><Relationship Id="rId128" Type="http://schemas.openxmlformats.org/officeDocument/2006/relationships/image" Target="media/image44.jpeg" TargetMode="External"/><Relationship Id="rId129" Type="http://schemas.openxmlformats.org/officeDocument/2006/relationships/header" Target="header11.xml"/><Relationship Id="rId130" Type="http://schemas.openxmlformats.org/officeDocument/2006/relationships/footer" Target="footer27.xml"/><Relationship Id="rId131" Type="http://schemas.openxmlformats.org/officeDocument/2006/relationships/header" Target="header12.xml"/><Relationship Id="rId132" Type="http://schemas.openxmlformats.org/officeDocument/2006/relationships/footer" Target="footer28.xml"/><Relationship Id="rId133" Type="http://schemas.openxmlformats.org/officeDocument/2006/relationships/header" Target="header13.xml"/><Relationship Id="rId134" Type="http://schemas.openxmlformats.org/officeDocument/2006/relationships/footer" Target="footer29.xml"/><Relationship Id="rId135" Type="http://schemas.openxmlformats.org/officeDocument/2006/relationships/header" Target="header14.xml"/><Relationship Id="rId136" Type="http://schemas.openxmlformats.org/officeDocument/2006/relationships/footer" Target="footer30.xml"/><Relationship Id="rId137" Type="http://schemas.openxmlformats.org/officeDocument/2006/relationships/image" Target="media/image45.jpeg"/><Relationship Id="rId138" Type="http://schemas.openxmlformats.org/officeDocument/2006/relationships/image" Target="media/image45.jpeg" TargetMode="External"/><Relationship Id="rId139" Type="http://schemas.openxmlformats.org/officeDocument/2006/relationships/image" Target="media/image46.jpeg"/><Relationship Id="rId140" Type="http://schemas.openxmlformats.org/officeDocument/2006/relationships/image" Target="media/image46.jpeg" TargetMode="External"/><Relationship Id="rId141" Type="http://schemas.openxmlformats.org/officeDocument/2006/relationships/image" Target="media/image47.jpeg"/><Relationship Id="rId142" Type="http://schemas.openxmlformats.org/officeDocument/2006/relationships/image" Target="media/image47.jpeg" TargetMode="External"/><Relationship Id="rId143" Type="http://schemas.openxmlformats.org/officeDocument/2006/relationships/image" Target="media/image48.jpeg"/><Relationship Id="rId144" Type="http://schemas.openxmlformats.org/officeDocument/2006/relationships/image" Target="media/image48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Презентация PowerPoint</dc:title>
  <dc:subject/>
  <dc:creator>Burmistrov Leonid</dc:creator>
  <cp:keywords/>
</cp:coreProperties>
</file>